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宋体"/>
          <w:b/>
          <w:bCs/>
          <w:color w:val="FF0000"/>
          <w:spacing w:val="20"/>
          <w:w w:val="50"/>
          <w:sz w:val="128"/>
          <w:szCs w:val="128"/>
        </w:rPr>
      </w:pPr>
      <w:bookmarkStart w:id="0" w:name="_GoBack"/>
      <w:bookmarkEnd w:id="0"/>
      <w:r>
        <w:rPr>
          <w:rFonts w:hint="eastAsia" w:ascii="宋体" w:hAnsi="宋体"/>
          <w:b/>
          <w:bCs/>
          <w:color w:val="FF0000"/>
          <w:spacing w:val="20"/>
          <w:w w:val="50"/>
          <w:sz w:val="128"/>
          <w:szCs w:val="128"/>
        </w:rPr>
        <w:t>盐城师范学院后勤管理处</w:t>
      </w:r>
    </w:p>
    <w:p>
      <w:pPr>
        <w:rPr>
          <w:rFonts w:cs="Times New Roman"/>
        </w:rPr>
      </w:pPr>
    </w:p>
    <w:p>
      <w:pPr>
        <w:rPr>
          <w:rFonts w:cs="Times New Roman"/>
        </w:rPr>
      </w:pPr>
    </w:p>
    <w:p>
      <w:pPr>
        <w:rPr>
          <w:rFonts w:cs="Times New Roman"/>
        </w:rPr>
      </w:pPr>
    </w:p>
    <w:p>
      <w:pPr>
        <w:rPr>
          <w:rFonts w:cs="Times New Roman" w:asciiTheme="minorEastAsia" w:hAnsiTheme="minorEastAsia" w:eastAsiaTheme="minorEastAsia"/>
          <w:sz w:val="30"/>
          <w:szCs w:val="30"/>
        </w:rPr>
      </w:pPr>
      <w:r>
        <w:t xml:space="preserve">                        </w:t>
      </w:r>
      <w:r>
        <w:rPr>
          <w:sz w:val="30"/>
          <w:szCs w:val="30"/>
        </w:rPr>
        <w:t xml:space="preserve">  </w:t>
      </w:r>
      <w:r>
        <w:rPr>
          <w:rFonts w:hint="eastAsia" w:asciiTheme="minorEastAsia" w:hAnsiTheme="minorEastAsia" w:eastAsiaTheme="minorEastAsia"/>
          <w:sz w:val="30"/>
          <w:szCs w:val="30"/>
        </w:rPr>
        <w:t>盐师院后管〔</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〕6号</w:t>
      </w:r>
    </w:p>
    <w:p>
      <w:pPr>
        <w:rPr>
          <w:rFonts w:cs="Times New Roman"/>
        </w:rPr>
      </w:pPr>
      <w:r>
        <mc:AlternateContent>
          <mc:Choice Requires="wps">
            <w:drawing>
              <wp:anchor distT="0" distB="0" distL="114300" distR="114300" simplePos="0" relativeHeight="1024" behindDoc="0" locked="0" layoutInCell="1" allowOverlap="1">
                <wp:simplePos x="0" y="0"/>
                <wp:positionH relativeFrom="column">
                  <wp:posOffset>28575</wp:posOffset>
                </wp:positionH>
                <wp:positionV relativeFrom="paragraph">
                  <wp:posOffset>53340</wp:posOffset>
                </wp:positionV>
                <wp:extent cx="5353050" cy="38100"/>
                <wp:effectExtent l="0" t="9525" r="0" b="9525"/>
                <wp:wrapNone/>
                <wp:docPr id="1" name="直接连接符 1"/>
                <wp:cNvGraphicFramePr/>
                <a:graphic xmlns:a="http://schemas.openxmlformats.org/drawingml/2006/main">
                  <a:graphicData uri="http://schemas.microsoft.com/office/word/2010/wordprocessingShape">
                    <wps:wsp>
                      <wps:cNvCnPr/>
                      <wps:spPr>
                        <a:xfrm flipV="1">
                          <a:off x="0" y="0"/>
                          <a:ext cx="5353050" cy="38100"/>
                        </a:xfrm>
                        <a:prstGeom prst="line">
                          <a:avLst/>
                        </a:prstGeom>
                        <a:ln w="19050" cap="flat" cmpd="sng">
                          <a:solidFill>
                            <a:srgbClr val="FF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2.25pt;margin-top:4.2pt;height:3pt;width:421.5pt;z-index:1024;mso-width-relative:page;mso-height-relative:page;" filled="f" stroked="t" coordsize="21600,21600" o:gfxdata="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6GoM1QAAAAYBAAAPAAAAAAAAAAEAIAAAACIAAABkcnMvZG93bnJldi54bWxQSwECFAAUAAAA&#10;CACHTuJAMBcARvEBAAC9AwAADgAAAAAAAAABACAAAAAkAQAAZHJzL2Uyb0RvYy54bWxQSwUGAAAA&#10;AAYABgBZAQAAhwUAAAAA&#10;">
                <v:fill on="f" focussize="0,0"/>
                <v:stroke weight="1.5pt" color="#FF0000" joinstyle="miter"/>
                <v:imagedata o:title=""/>
                <o:lock v:ext="edit" aspectratio="f"/>
              </v:line>
            </w:pict>
          </mc:Fallback>
        </mc:AlternateConten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关于做好2020年度教职工体检工作的通知</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各二级学院、部门：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经研究决定，学校拟定于6月下旬组织全体教职工进行年度健康体检，现将有关事项通知如下：</w:t>
      </w:r>
    </w:p>
    <w:p>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一、体检对象</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职工健康体检：全体教职工（含离退休人员）；妇女病普查：已婚女教职工。</w:t>
      </w:r>
    </w:p>
    <w:p>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二、体检机构及地点</w:t>
      </w:r>
    </w:p>
    <w:p>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体检机构选择：</w:t>
      </w:r>
      <w:r>
        <w:rPr>
          <w:rFonts w:hint="eastAsia" w:ascii="仿宋_GB2312" w:hAnsi="仿宋_GB2312" w:eastAsia="仿宋_GB2312" w:cs="仿宋_GB2312"/>
          <w:sz w:val="30"/>
          <w:szCs w:val="30"/>
        </w:rPr>
        <w:t>教职工根据各体检机构提供的项目表，自行选择体检机构。已婚女职工可选择同一家机构在同一时间完成职工健康体检和妇女病普查，如分开选择，妇女病普查时间需另行安排。</w:t>
      </w:r>
    </w:p>
    <w:p>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职工健康体检：</w:t>
      </w:r>
      <w:r>
        <w:rPr>
          <w:rFonts w:hint="eastAsia" w:ascii="仿宋_GB2312" w:hAnsi="仿宋_GB2312" w:eastAsia="仿宋_GB2312" w:cs="仿宋_GB2312"/>
          <w:sz w:val="30"/>
          <w:szCs w:val="30"/>
        </w:rPr>
        <w:t>市第一人民医院体检中心（南城河路12号）、美年大健康体检中心（沿河中路24号）任选一家。</w:t>
      </w:r>
    </w:p>
    <w:p>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妇女病普查：</w:t>
      </w:r>
      <w:r>
        <w:rPr>
          <w:rFonts w:hint="eastAsia" w:ascii="仿宋_GB2312" w:hAnsi="仿宋_GB2312" w:eastAsia="仿宋_GB2312" w:cs="仿宋_GB2312"/>
          <w:sz w:val="30"/>
          <w:szCs w:val="30"/>
        </w:rPr>
        <w:t>市第一人民医院体检中心、美年大健康体检中心、市妇幼保健医院（世纪大道东路31号）任选一家。</w:t>
      </w:r>
    </w:p>
    <w:p>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三、体检费用标准及项目安排</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1、教职工体检费650元/人、妇女病普查480元/人。</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2、市第一人民医院体检中心、美年大健康体检中心、市妇幼保健医院提供的体检项目清单详见附件（可登录后勤管理处网页http://hq.yctu.edu.cn/下载）。</w:t>
      </w:r>
    </w:p>
    <w:p>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四、其他要求</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1、务请各二级学院、部门于</w:t>
      </w:r>
      <w:r>
        <w:rPr>
          <w:rFonts w:hint="eastAsia" w:ascii="仿宋_GB2312" w:hAnsi="仿宋_GB2312" w:eastAsia="仿宋_GB2312" w:cs="仿宋_GB2312"/>
          <w:b/>
          <w:bCs/>
          <w:sz w:val="30"/>
          <w:szCs w:val="30"/>
        </w:rPr>
        <w:t>6月5日下午下班前</w:t>
      </w:r>
      <w:r>
        <w:rPr>
          <w:rFonts w:hint="eastAsia" w:ascii="仿宋_GB2312" w:hAnsi="仿宋_GB2312" w:eastAsia="仿宋_GB2312" w:cs="仿宋_GB2312"/>
          <w:sz w:val="30"/>
          <w:szCs w:val="30"/>
        </w:rPr>
        <w:t>将教职工选择体检机构情况汇总表（附件6、附件7）加盖公章后报送至卫生所，</w:t>
      </w:r>
      <w:r>
        <w:fldChar w:fldCharType="begin"/>
      </w:r>
      <w:r>
        <w:instrText xml:space="preserve"> HYPERLINK "mailto:电子档请发送至42587155@qq.com" </w:instrText>
      </w:r>
      <w:r>
        <w:fldChar w:fldCharType="separate"/>
      </w:r>
      <w:r>
        <w:rPr>
          <w:rStyle w:val="6"/>
          <w:rFonts w:hint="eastAsia" w:ascii="仿宋_GB2312" w:hAnsi="仿宋_GB2312" w:eastAsia="仿宋_GB2312" w:cs="仿宋_GB2312"/>
          <w:color w:val="auto"/>
          <w:sz w:val="30"/>
          <w:szCs w:val="30"/>
          <w:u w:val="none"/>
        </w:rPr>
        <w:t>电子档统一发送至yczhangym@163.com</w:t>
      </w:r>
      <w:r>
        <w:rPr>
          <w:rStyle w:val="6"/>
          <w:rFonts w:hint="eastAsia" w:ascii="仿宋_GB2312" w:hAnsi="仿宋_GB2312" w:eastAsia="仿宋_GB2312" w:cs="仿宋_GB2312"/>
          <w:color w:val="auto"/>
          <w:sz w:val="30"/>
          <w:szCs w:val="30"/>
          <w:u w:val="none"/>
        </w:rPr>
        <w:fldChar w:fldCharType="end"/>
      </w:r>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新长校区联系人：张跃敏 13851049760，通榆校区联系人：梁直升 13851184031。</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2、教职工须按书面选择的医院参加体检，擅自改变体检机构的学校将不予结账。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3、后勤管理处根据全校教职工选择体检机构汇总情况，与各体检机构商定体检时间，并另行通知到各二级学院和部门。</w:t>
      </w:r>
    </w:p>
    <w:p>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4、请各二级学院、部门务必通知到所有人员（含在外进修、扶贫、下派等）。</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特此通知。                         </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附件：1.市第一人民医院体检中心体检项目表</w:t>
      </w:r>
    </w:p>
    <w:p>
      <w:pPr>
        <w:spacing w:line="5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2.美年大健康体检中心体检项目表</w:t>
      </w:r>
    </w:p>
    <w:p>
      <w:pPr>
        <w:spacing w:line="500" w:lineRule="exact"/>
        <w:ind w:firstLine="1500" w:firstLineChars="500"/>
        <w:rPr>
          <w:rFonts w:ascii="仿宋_GB2312" w:hAnsi="仿宋_GB2312" w:eastAsia="仿宋_GB2312" w:cs="仿宋_GB2312"/>
          <w:spacing w:val="-20"/>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pacing w:val="-20"/>
          <w:sz w:val="30"/>
          <w:szCs w:val="30"/>
        </w:rPr>
        <w:t>市第一人民医院体检中心妇女病普查项目表</w:t>
      </w:r>
    </w:p>
    <w:p>
      <w:pPr>
        <w:spacing w:line="5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4.美年大健康体检中心妇女病普查</w:t>
      </w:r>
      <w:r>
        <w:rPr>
          <w:rFonts w:hint="eastAsia" w:ascii="仿宋_GB2312" w:hAnsi="仿宋_GB2312" w:eastAsia="仿宋_GB2312" w:cs="仿宋_GB2312"/>
          <w:spacing w:val="-20"/>
          <w:sz w:val="30"/>
          <w:szCs w:val="30"/>
        </w:rPr>
        <w:t>项目表</w:t>
      </w:r>
    </w:p>
    <w:p>
      <w:pPr>
        <w:spacing w:line="5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5.盐城市妇幼保健院妇女病普查</w:t>
      </w:r>
      <w:r>
        <w:rPr>
          <w:rFonts w:hint="eastAsia" w:ascii="仿宋_GB2312" w:hAnsi="仿宋_GB2312" w:eastAsia="仿宋_GB2312" w:cs="仿宋_GB2312"/>
          <w:spacing w:val="-20"/>
          <w:sz w:val="30"/>
          <w:szCs w:val="30"/>
        </w:rPr>
        <w:t>项目表</w:t>
      </w:r>
    </w:p>
    <w:p>
      <w:pPr>
        <w:spacing w:line="5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6.教职工体检机构选择情况汇总表</w:t>
      </w:r>
    </w:p>
    <w:p>
      <w:pPr>
        <w:spacing w:line="5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7.妇女病普查机构选择情况汇总表</w:t>
      </w:r>
    </w:p>
    <w:p>
      <w:pPr>
        <w:spacing w:line="500" w:lineRule="exact"/>
        <w:ind w:firstLine="600" w:firstLineChars="200"/>
        <w:rPr>
          <w:rFonts w:ascii="仿宋_GB2312" w:hAnsi="仿宋_GB2312" w:eastAsia="仿宋_GB2312" w:cs="仿宋_GB2312"/>
          <w:sz w:val="30"/>
          <w:szCs w:val="30"/>
        </w:rPr>
      </w:pP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500" w:lineRule="exact"/>
        <w:ind w:firstLine="5400" w:firstLineChars="1800"/>
        <w:rPr>
          <w:rFonts w:ascii="仿宋_GB2312" w:hAnsi="仿宋_GB2312" w:eastAsia="仿宋_GB2312" w:cs="仿宋_GB2312"/>
          <w:sz w:val="30"/>
          <w:szCs w:val="30"/>
        </w:rPr>
      </w:pPr>
      <w:r>
        <w:rPr>
          <w:rFonts w:hint="eastAsia" w:ascii="仿宋_GB2312" w:hAnsi="仿宋_GB2312" w:eastAsia="仿宋_GB2312" w:cs="仿宋_GB2312"/>
          <w:sz w:val="30"/>
          <w:szCs w:val="30"/>
        </w:rPr>
        <w:t>后勤管理处</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2020年6月1日</w:t>
      </w:r>
    </w:p>
    <w:p>
      <w:pPr>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w:t>
      </w:r>
    </w:p>
    <w:tbl>
      <w:tblPr>
        <w:tblStyle w:val="4"/>
        <w:tblW w:w="14295" w:type="dxa"/>
        <w:tblInd w:w="0" w:type="dxa"/>
        <w:tblLayout w:type="fixed"/>
        <w:tblCellMar>
          <w:top w:w="0" w:type="dxa"/>
          <w:left w:w="0" w:type="dxa"/>
          <w:bottom w:w="0" w:type="dxa"/>
          <w:right w:w="0" w:type="dxa"/>
        </w:tblCellMar>
      </w:tblPr>
      <w:tblGrid>
        <w:gridCol w:w="1817"/>
        <w:gridCol w:w="3940"/>
        <w:gridCol w:w="741"/>
        <w:gridCol w:w="779"/>
        <w:gridCol w:w="7018"/>
      </w:tblGrid>
      <w:tr>
        <w:tblPrEx>
          <w:tblCellMar>
            <w:top w:w="0" w:type="dxa"/>
            <w:left w:w="0" w:type="dxa"/>
            <w:bottom w:w="0" w:type="dxa"/>
            <w:right w:w="0" w:type="dxa"/>
          </w:tblCellMar>
        </w:tblPrEx>
        <w:trPr>
          <w:trHeight w:val="287" w:hRule="atLeast"/>
        </w:trPr>
        <w:tc>
          <w:tcPr>
            <w:tcW w:w="14295" w:type="dxa"/>
            <w:gridSpan w:val="5"/>
            <w:tcBorders>
              <w:top w:val="nil"/>
              <w:left w:val="nil"/>
              <w:bottom w:val="single" w:color="auto" w:sz="4" w:space="0"/>
              <w:right w:val="nil"/>
            </w:tcBorders>
            <w:noWrap/>
            <w:tcMar>
              <w:top w:w="15" w:type="dxa"/>
              <w:left w:w="15" w:type="dxa"/>
              <w:right w:w="15" w:type="dxa"/>
            </w:tcMar>
            <w:vAlign w:val="center"/>
          </w:tcPr>
          <w:p>
            <w:pPr>
              <w:widowControl/>
              <w:textAlignment w:val="center"/>
              <w:rPr>
                <w:rFonts w:ascii="黑体" w:hAnsi="黑体" w:eastAsia="黑体" w:cs="黑体"/>
                <w:kern w:val="0"/>
                <w:sz w:val="28"/>
                <w:szCs w:val="28"/>
              </w:rPr>
            </w:pPr>
            <w:r>
              <w:rPr>
                <w:rFonts w:hint="eastAsia" w:ascii="黑体" w:hAnsi="黑体" w:eastAsia="黑体" w:cs="黑体"/>
                <w:kern w:val="0"/>
                <w:sz w:val="28"/>
                <w:szCs w:val="28"/>
              </w:rPr>
              <w:t>附件1</w:t>
            </w:r>
          </w:p>
          <w:p>
            <w:pPr>
              <w:widowControl/>
              <w:jc w:val="center"/>
              <w:textAlignment w:val="center"/>
              <w:rPr>
                <w:rFonts w:ascii="仿宋_GB2312" w:hAnsi="仿宋_GB2312" w:eastAsia="仿宋_GB2312" w:cs="仿宋_GB2312"/>
                <w:b/>
                <w:sz w:val="24"/>
                <w:szCs w:val="24"/>
              </w:rPr>
            </w:pPr>
            <w:r>
              <w:rPr>
                <w:rFonts w:hint="eastAsia" w:ascii="黑体" w:hAnsi="黑体" w:eastAsia="黑体" w:cs="黑体"/>
                <w:kern w:val="0"/>
                <w:sz w:val="36"/>
                <w:szCs w:val="36"/>
              </w:rPr>
              <w:t>盐城市第一人民医院体检中心体检项目表</w:t>
            </w:r>
          </w:p>
        </w:tc>
      </w:tr>
      <w:tr>
        <w:tblPrEx>
          <w:tblCellMar>
            <w:top w:w="0" w:type="dxa"/>
            <w:left w:w="0" w:type="dxa"/>
            <w:bottom w:w="0" w:type="dxa"/>
            <w:right w:w="0" w:type="dxa"/>
          </w:tblCellMar>
        </w:tblPrEx>
        <w:trPr>
          <w:trHeight w:val="151" w:hRule="atLeast"/>
        </w:trPr>
        <w:tc>
          <w:tcPr>
            <w:tcW w:w="5757" w:type="dxa"/>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体检项目</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男</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女</w:t>
            </w:r>
          </w:p>
        </w:tc>
        <w:tc>
          <w:tcPr>
            <w:tcW w:w="7018"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临床意义</w:t>
            </w:r>
          </w:p>
        </w:tc>
      </w:tr>
      <w:tr>
        <w:tblPrEx>
          <w:tblCellMar>
            <w:top w:w="0" w:type="dxa"/>
            <w:left w:w="0" w:type="dxa"/>
            <w:bottom w:w="0" w:type="dxa"/>
            <w:right w:w="0" w:type="dxa"/>
          </w:tblCellMar>
        </w:tblPrEx>
        <w:trPr>
          <w:trHeight w:val="29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一般检查</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身高、体重、体重指数（BMI） 血压（BP）、脉搏（P）</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体重是否正常，有无体重不足、超重或肥胖；有无血压脉搏异常等</w:t>
            </w:r>
          </w:p>
        </w:tc>
      </w:tr>
      <w:tr>
        <w:tblPrEx>
          <w:tblCellMar>
            <w:top w:w="0" w:type="dxa"/>
            <w:left w:w="0" w:type="dxa"/>
            <w:bottom w:w="0" w:type="dxa"/>
            <w:right w:w="0" w:type="dxa"/>
          </w:tblCellMar>
        </w:tblPrEx>
        <w:trPr>
          <w:trHeight w:val="15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内科</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心、肺听诊，腹部触诊</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心肺有无异常   肝脾有无肿大、腹部有无包块等</w:t>
            </w:r>
          </w:p>
        </w:tc>
      </w:tr>
      <w:tr>
        <w:tblPrEx>
          <w:tblCellMar>
            <w:top w:w="0" w:type="dxa"/>
            <w:left w:w="0" w:type="dxa"/>
            <w:bottom w:w="0" w:type="dxa"/>
            <w:right w:w="0" w:type="dxa"/>
          </w:tblCellMar>
        </w:tblPrEx>
        <w:trPr>
          <w:trHeight w:val="43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外科</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浅表淋巴结，甲状腺、乳房、脊柱、四肢、外生殖器、前列腺、肛肠指检、皮肤等</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淋巴结有无肿大，甲状腺、乳房、外生殖器、前列腺、肛肠有无异常、四肢脊柱有无畸形等</w:t>
            </w:r>
          </w:p>
        </w:tc>
      </w:tr>
      <w:tr>
        <w:tblPrEx>
          <w:tblCellMar>
            <w:top w:w="0" w:type="dxa"/>
            <w:left w:w="0" w:type="dxa"/>
            <w:bottom w:w="0" w:type="dxa"/>
            <w:right w:w="0" w:type="dxa"/>
          </w:tblCellMar>
        </w:tblPrEx>
        <w:trPr>
          <w:trHeight w:val="151" w:hRule="atLeast"/>
        </w:trPr>
        <w:tc>
          <w:tcPr>
            <w:tcW w:w="18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眼科</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外眼</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视力是否正常，眼外观是否正常，有无沙眼、结膜炎等</w:t>
            </w:r>
          </w:p>
        </w:tc>
      </w:tr>
      <w:tr>
        <w:tblPrEx>
          <w:tblCellMar>
            <w:top w:w="0" w:type="dxa"/>
            <w:left w:w="0" w:type="dxa"/>
            <w:bottom w:w="0" w:type="dxa"/>
            <w:right w:w="0" w:type="dxa"/>
          </w:tblCellMar>
        </w:tblPrEx>
        <w:trPr>
          <w:trHeight w:val="15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眼底</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眼底有无黄斑变性和动脉硬化等</w:t>
            </w:r>
          </w:p>
        </w:tc>
      </w:tr>
      <w:tr>
        <w:tblPrEx>
          <w:tblCellMar>
            <w:top w:w="0" w:type="dxa"/>
            <w:left w:w="0" w:type="dxa"/>
            <w:bottom w:w="0" w:type="dxa"/>
            <w:right w:w="0" w:type="dxa"/>
          </w:tblCellMar>
        </w:tblPrEx>
        <w:trPr>
          <w:trHeight w:val="29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耳鼻喉检查</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外耳道、鼓膜、鼻腔、鼻中隔、扁桃体、咽部</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耳、鼻、咽（如中耳炎、鼓膜穿孔、扁桃体肿大）有无异常等</w:t>
            </w:r>
          </w:p>
        </w:tc>
      </w:tr>
      <w:tr>
        <w:tblPrEx>
          <w:tblCellMar>
            <w:top w:w="0" w:type="dxa"/>
            <w:left w:w="0" w:type="dxa"/>
            <w:bottom w:w="0" w:type="dxa"/>
            <w:right w:w="0" w:type="dxa"/>
          </w:tblCellMar>
        </w:tblPrEx>
        <w:trPr>
          <w:trHeight w:val="15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口腔检查</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口腔、牙齿</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检查口腔粘膜和牙齿有无异常</w:t>
            </w:r>
          </w:p>
        </w:tc>
      </w:tr>
      <w:tr>
        <w:tblPrEx>
          <w:tblCellMar>
            <w:top w:w="0" w:type="dxa"/>
            <w:left w:w="0" w:type="dxa"/>
            <w:bottom w:w="0" w:type="dxa"/>
            <w:right w:w="0" w:type="dxa"/>
          </w:tblCellMar>
        </w:tblPrEx>
        <w:trPr>
          <w:trHeight w:val="29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静态心电图（ECG）</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十二导心电图</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spacing w:line="30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用于心律失常（如早搏、传导障碍等）、心肌缺血、心肌梗塞、心房、心室肥大等诊断</w:t>
            </w:r>
          </w:p>
        </w:tc>
      </w:tr>
      <w:tr>
        <w:tblPrEx>
          <w:tblCellMar>
            <w:top w:w="0" w:type="dxa"/>
            <w:left w:w="0" w:type="dxa"/>
            <w:bottom w:w="0" w:type="dxa"/>
            <w:right w:w="0" w:type="dxa"/>
          </w:tblCellMar>
        </w:tblPrEx>
        <w:trPr>
          <w:trHeight w:val="43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血常规（五分类）</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检查白细胞、红细胞、血小板等</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可提示：小细胞性贫血，巨幼细胞贫血，恶性贫血，再生障碍性贫血，溶血性贫血，白血病，粒细胞减少，血小板减少，淋巴细胞减少，感染等。</w:t>
            </w:r>
          </w:p>
        </w:tc>
      </w:tr>
      <w:tr>
        <w:tblPrEx>
          <w:tblCellMar>
            <w:top w:w="0" w:type="dxa"/>
            <w:left w:w="0" w:type="dxa"/>
            <w:bottom w:w="0" w:type="dxa"/>
            <w:right w:w="0" w:type="dxa"/>
          </w:tblCellMar>
        </w:tblPrEx>
        <w:trPr>
          <w:trHeight w:val="43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肝功能11项</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ALT，AST，GGT，ALP，总蛋白，白蛋白，球蛋白，白/球比值,总胆红素，直接胆红素，间接胆红素</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可提示肝胆系统疾病：急性传染性肝炎，中毒性肝炎，脂肪肝，胆管炎，胆囊炎，药物中毒性肝炎，酒精性肝炎和黄疸等</w:t>
            </w:r>
          </w:p>
        </w:tc>
      </w:tr>
      <w:tr>
        <w:tblPrEx>
          <w:tblCellMar>
            <w:top w:w="0" w:type="dxa"/>
            <w:left w:w="0" w:type="dxa"/>
            <w:bottom w:w="0" w:type="dxa"/>
            <w:right w:w="0" w:type="dxa"/>
          </w:tblCellMar>
        </w:tblPrEx>
        <w:trPr>
          <w:trHeight w:val="29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肾功能3项</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尿素氮（BUN）、肌酐（Cr）、尿酸（UA）</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可提示有无肾功能损害：如慢性肾炎，肾盂肾炎，肾结核，肾肿瘤，尿毒症等。</w:t>
            </w:r>
          </w:p>
        </w:tc>
      </w:tr>
      <w:tr>
        <w:tblPrEx>
          <w:tblCellMar>
            <w:top w:w="0" w:type="dxa"/>
            <w:left w:w="0" w:type="dxa"/>
            <w:bottom w:w="0" w:type="dxa"/>
            <w:right w:w="0" w:type="dxa"/>
          </w:tblCellMar>
        </w:tblPrEx>
        <w:trPr>
          <w:trHeight w:val="291" w:hRule="atLeast"/>
        </w:trPr>
        <w:tc>
          <w:tcPr>
            <w:tcW w:w="18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血脂</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1.总胆固醇(TC)</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脂肪肝，胆管炎，胆囊炎，药物中毒性肝炎，酒精性肝炎和黄疸等</w:t>
            </w:r>
          </w:p>
        </w:tc>
      </w:tr>
      <w:tr>
        <w:tblPrEx>
          <w:tblCellMar>
            <w:top w:w="0" w:type="dxa"/>
            <w:left w:w="0" w:type="dxa"/>
            <w:bottom w:w="0" w:type="dxa"/>
            <w:right w:w="0" w:type="dxa"/>
          </w:tblCellMar>
        </w:tblPrEx>
        <w:trPr>
          <w:trHeight w:val="29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2.甘油三脂（TG）</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血脂升高是导致高血压、冠心病、心肌梗塞、动脉粥样硬化的高度危险因素</w:t>
            </w:r>
          </w:p>
        </w:tc>
      </w:tr>
      <w:tr>
        <w:tblPrEx>
          <w:tblCellMar>
            <w:top w:w="0" w:type="dxa"/>
            <w:left w:w="0" w:type="dxa"/>
            <w:bottom w:w="0" w:type="dxa"/>
            <w:right w:w="0" w:type="dxa"/>
          </w:tblCellMar>
        </w:tblPrEx>
        <w:trPr>
          <w:trHeight w:val="15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3.高密度脂蛋白(HDL)</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对血管有保护作用。血中含量低则易患血管硬化</w:t>
            </w:r>
          </w:p>
        </w:tc>
      </w:tr>
      <w:tr>
        <w:tblPrEx>
          <w:tblCellMar>
            <w:top w:w="0" w:type="dxa"/>
            <w:left w:w="0" w:type="dxa"/>
            <w:bottom w:w="0" w:type="dxa"/>
            <w:right w:w="0" w:type="dxa"/>
          </w:tblCellMar>
        </w:tblPrEx>
        <w:trPr>
          <w:trHeight w:val="29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4.低密度脂蛋白(LDL)</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LDL升高时冠心病、心肌梗塞、脑血管疾病和动脉硬化的高度危险因素</w:t>
            </w:r>
          </w:p>
        </w:tc>
      </w:tr>
      <w:tr>
        <w:tblPrEx>
          <w:tblCellMar>
            <w:top w:w="0" w:type="dxa"/>
            <w:left w:w="0" w:type="dxa"/>
            <w:bottom w:w="0" w:type="dxa"/>
            <w:right w:w="0" w:type="dxa"/>
          </w:tblCellMar>
        </w:tblPrEx>
        <w:trPr>
          <w:trHeight w:val="29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血糖</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空腹血糖</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从血糖水平了解是否有低血糖、糖尿病.了解血糖控制情况等</w:t>
            </w:r>
          </w:p>
        </w:tc>
      </w:tr>
      <w:tr>
        <w:tblPrEx>
          <w:tblCellMar>
            <w:top w:w="0" w:type="dxa"/>
            <w:left w:w="0" w:type="dxa"/>
            <w:bottom w:w="0" w:type="dxa"/>
            <w:right w:w="0" w:type="dxa"/>
          </w:tblCellMar>
        </w:tblPrEx>
        <w:trPr>
          <w:trHeight w:val="151" w:hRule="atLeast"/>
        </w:trPr>
        <w:tc>
          <w:tcPr>
            <w:tcW w:w="18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肿瘤标志检测</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甲胎蛋白（AFP）定量</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可提示有无原发性肝癌，生殖腺胚胎性肿瘤，肝硬化等。</w:t>
            </w:r>
          </w:p>
        </w:tc>
      </w:tr>
      <w:tr>
        <w:tblPrEx>
          <w:tblCellMar>
            <w:top w:w="0" w:type="dxa"/>
            <w:left w:w="0" w:type="dxa"/>
            <w:bottom w:w="0" w:type="dxa"/>
            <w:right w:w="0" w:type="dxa"/>
          </w:tblCellMar>
        </w:tblPrEx>
        <w:trPr>
          <w:trHeight w:val="29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癌胚抗原（CEA）定量</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为广谱肿瘤标志物，可提示直肠癌、结肠癌、肺癌、乳腺癌、胰腺癌等</w:t>
            </w:r>
          </w:p>
        </w:tc>
      </w:tr>
      <w:tr>
        <w:tblPrEx>
          <w:tblCellMar>
            <w:top w:w="0" w:type="dxa"/>
            <w:left w:w="0" w:type="dxa"/>
            <w:bottom w:w="0" w:type="dxa"/>
            <w:right w:w="0" w:type="dxa"/>
          </w:tblCellMar>
        </w:tblPrEx>
        <w:trPr>
          <w:trHeight w:val="57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尿常规</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颜色、比重、酸碱度、尿糖、隐血、尿胆素、尿胆原、胆红素、尿蛋白、亚硝酸盐、尿沉渣检查</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可提示有无泌尿系统疾患：如急、慢性肾炎，肾盂肾炎，膀胱炎，尿道炎，肾病综合征，狼疮性肾炎，血红蛋白尿，肾梗塞、肾小管重金属盐及药物导致急性肾小管坏死，肾或膀胱肿瘤以及有无尿糖等</w:t>
            </w:r>
          </w:p>
        </w:tc>
      </w:tr>
      <w:tr>
        <w:tblPrEx>
          <w:tblCellMar>
            <w:top w:w="0" w:type="dxa"/>
            <w:left w:w="0" w:type="dxa"/>
            <w:bottom w:w="0" w:type="dxa"/>
            <w:right w:w="0" w:type="dxa"/>
          </w:tblCellMar>
        </w:tblPrEx>
        <w:trPr>
          <w:trHeight w:val="291" w:hRule="atLeast"/>
        </w:trPr>
        <w:tc>
          <w:tcPr>
            <w:tcW w:w="18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高清彩色多普勒B超</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肝胆脾胰肾</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各脏器有无形态学改变及占位性病变（肿瘤、结石、炎症等）。</w:t>
            </w:r>
          </w:p>
        </w:tc>
      </w:tr>
      <w:tr>
        <w:tblPrEx>
          <w:tblCellMar>
            <w:top w:w="0" w:type="dxa"/>
            <w:left w:w="0" w:type="dxa"/>
            <w:bottom w:w="0" w:type="dxa"/>
            <w:right w:w="0" w:type="dxa"/>
          </w:tblCellMar>
        </w:tblPrEx>
        <w:trPr>
          <w:trHeight w:val="15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甲状腺（退休人员不做）</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spacing w:line="30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检查甲状腺是否有结节、囊肿或肿瘤等</w:t>
            </w:r>
          </w:p>
        </w:tc>
      </w:tr>
      <w:tr>
        <w:tblPrEx>
          <w:tblCellMar>
            <w:top w:w="0" w:type="dxa"/>
            <w:left w:w="0" w:type="dxa"/>
            <w:bottom w:w="0" w:type="dxa"/>
            <w:right w:w="0" w:type="dxa"/>
          </w:tblCellMar>
        </w:tblPrEx>
        <w:trPr>
          <w:trHeight w:val="43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颈动脉（在职人员不做）</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spacing w:line="30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是诊断、评估颈动脉壁病变的有效手段之一，在动脉粥样硬化的流行病学调查和对动脉粥样硬化预防、治疗试验的有效性评价中起着关键作用。</w:t>
            </w:r>
          </w:p>
        </w:tc>
      </w:tr>
      <w:tr>
        <w:tblPrEx>
          <w:tblCellMar>
            <w:top w:w="0" w:type="dxa"/>
            <w:left w:w="0" w:type="dxa"/>
            <w:bottom w:w="0" w:type="dxa"/>
            <w:right w:w="0" w:type="dxa"/>
          </w:tblCellMar>
        </w:tblPrEx>
        <w:trPr>
          <w:trHeight w:val="15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膀胱、输尿管</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00" w:lineRule="exact"/>
              <w:jc w:val="center"/>
              <w:rPr>
                <w:rFonts w:hint="eastAsia" w:ascii="仿宋_GB2312" w:hAnsi="仿宋_GB2312" w:eastAsia="仿宋_GB2312" w:cs="仿宋_GB2312"/>
                <w:sz w:val="24"/>
                <w:szCs w:val="24"/>
              </w:rPr>
            </w:pP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spacing w:line="30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检查膀胱是否有结石或肿瘤等</w:t>
            </w:r>
          </w:p>
        </w:tc>
      </w:tr>
      <w:tr>
        <w:tblPrEx>
          <w:tblCellMar>
            <w:top w:w="0" w:type="dxa"/>
            <w:left w:w="0" w:type="dxa"/>
            <w:bottom w:w="0" w:type="dxa"/>
            <w:right w:w="0" w:type="dxa"/>
          </w:tblCellMar>
        </w:tblPrEx>
        <w:trPr>
          <w:trHeight w:val="151" w:hRule="atLeast"/>
        </w:trPr>
        <w:tc>
          <w:tcPr>
            <w:tcW w:w="181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b/>
                <w:sz w:val="24"/>
                <w:szCs w:val="24"/>
              </w:rPr>
            </w:pP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前列腺</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00" w:lineRule="exact"/>
              <w:jc w:val="center"/>
              <w:rPr>
                <w:rFonts w:hint="eastAsia" w:ascii="仿宋_GB2312" w:hAnsi="仿宋_GB2312" w:eastAsia="仿宋_GB2312" w:cs="仿宋_GB2312"/>
                <w:sz w:val="24"/>
                <w:szCs w:val="24"/>
              </w:rPr>
            </w:pP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spacing w:line="30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检查前列腺是否有增生或肿瘤。</w:t>
            </w:r>
          </w:p>
        </w:tc>
      </w:tr>
      <w:tr>
        <w:tblPrEx>
          <w:tblCellMar>
            <w:top w:w="0" w:type="dxa"/>
            <w:left w:w="0" w:type="dxa"/>
            <w:bottom w:w="0" w:type="dxa"/>
            <w:right w:w="0" w:type="dxa"/>
          </w:tblCellMar>
        </w:tblPrEx>
        <w:trPr>
          <w:trHeight w:val="151" w:hRule="atLeast"/>
        </w:trPr>
        <w:tc>
          <w:tcPr>
            <w:tcW w:w="1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CT</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CT检查（胸部）</w:t>
            </w:r>
          </w:p>
        </w:tc>
        <w:tc>
          <w:tcPr>
            <w:tcW w:w="7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jc w:val="left"/>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8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价格折后</w:t>
            </w:r>
          </w:p>
        </w:tc>
        <w:tc>
          <w:tcPr>
            <w:tcW w:w="39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righ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650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rPr>
                <w:rFonts w:hint="eastAsia" w:ascii="仿宋_GB2312" w:hAnsi="仿宋_GB2312" w:eastAsia="仿宋_GB2312" w:cs="仿宋_GB2312"/>
                <w:sz w:val="24"/>
                <w:szCs w:val="24"/>
              </w:rPr>
            </w:pPr>
          </w:p>
        </w:tc>
        <w:tc>
          <w:tcPr>
            <w:tcW w:w="7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rPr>
                <w:rFonts w:hint="eastAsia" w:ascii="仿宋_GB2312" w:hAnsi="仿宋_GB2312" w:eastAsia="仿宋_GB2312" w:cs="仿宋_GB2312"/>
                <w:sz w:val="24"/>
                <w:szCs w:val="24"/>
              </w:rPr>
            </w:pPr>
          </w:p>
        </w:tc>
        <w:tc>
          <w:tcPr>
            <w:tcW w:w="7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加项目可刷医保卡，享受八折</w:t>
            </w:r>
          </w:p>
        </w:tc>
      </w:tr>
    </w:tbl>
    <w:p>
      <w:pPr>
        <w:widowControl/>
        <w:jc w:val="left"/>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br w:type="page"/>
      </w:r>
      <w:r>
        <w:rPr>
          <w:rFonts w:hint="eastAsia" w:ascii="黑体" w:hAnsi="黑体" w:eastAsia="黑体" w:cs="黑体"/>
          <w:kern w:val="0"/>
          <w:sz w:val="28"/>
          <w:szCs w:val="28"/>
        </w:rPr>
        <w:t>附件2-1</w:t>
      </w:r>
    </w:p>
    <w:p>
      <w:pPr>
        <w:widowControl/>
        <w:jc w:val="center"/>
        <w:textAlignment w:val="center"/>
        <w:rPr>
          <w:rFonts w:ascii="仿宋_GB2312" w:hAnsi="仿宋_GB2312" w:eastAsia="黑体" w:cs="仿宋_GB2312"/>
          <w:b/>
          <w:kern w:val="0"/>
          <w:sz w:val="24"/>
          <w:szCs w:val="24"/>
        </w:rPr>
      </w:pPr>
      <w:r>
        <w:rPr>
          <w:rFonts w:hint="eastAsia" w:ascii="黑体" w:hAnsi="黑体" w:eastAsia="黑体" w:cs="黑体"/>
          <w:kern w:val="0"/>
          <w:sz w:val="36"/>
          <w:szCs w:val="36"/>
        </w:rPr>
        <w:t>美年大健康体检中心体检项目表（在职人员套餐）</w:t>
      </w:r>
    </w:p>
    <w:tbl>
      <w:tblPr>
        <w:tblStyle w:val="4"/>
        <w:tblW w:w="14295" w:type="dxa"/>
        <w:tblInd w:w="0" w:type="dxa"/>
        <w:tblLayout w:type="fixed"/>
        <w:tblCellMar>
          <w:top w:w="0" w:type="dxa"/>
          <w:left w:w="0" w:type="dxa"/>
          <w:bottom w:w="0" w:type="dxa"/>
          <w:right w:w="0" w:type="dxa"/>
        </w:tblCellMar>
      </w:tblPr>
      <w:tblGrid>
        <w:gridCol w:w="1403"/>
        <w:gridCol w:w="3670"/>
        <w:gridCol w:w="900"/>
        <w:gridCol w:w="881"/>
        <w:gridCol w:w="1178"/>
        <w:gridCol w:w="1847"/>
        <w:gridCol w:w="3969"/>
        <w:gridCol w:w="447"/>
      </w:tblGrid>
      <w:tr>
        <w:tblPrEx>
          <w:tblCellMar>
            <w:top w:w="0" w:type="dxa"/>
            <w:left w:w="0" w:type="dxa"/>
            <w:bottom w:w="0" w:type="dxa"/>
            <w:right w:w="0" w:type="dxa"/>
          </w:tblCellMar>
        </w:tblPrEx>
        <w:trPr>
          <w:trHeight w:val="1114" w:hRule="atLeast"/>
        </w:trPr>
        <w:tc>
          <w:tcPr>
            <w:tcW w:w="5073" w:type="dxa"/>
            <w:gridSpan w:val="2"/>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体检项目</w:t>
            </w:r>
          </w:p>
        </w:tc>
        <w:tc>
          <w:tcPr>
            <w:tcW w:w="90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男</w:t>
            </w:r>
          </w:p>
        </w:tc>
        <w:tc>
          <w:tcPr>
            <w:tcW w:w="881"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女</w:t>
            </w:r>
          </w:p>
        </w:tc>
        <w:tc>
          <w:tcPr>
            <w:tcW w:w="7441" w:type="dxa"/>
            <w:gridSpan w:val="4"/>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临床意义</w:t>
            </w:r>
          </w:p>
        </w:tc>
      </w:tr>
      <w:tr>
        <w:tblPrEx>
          <w:tblCellMar>
            <w:top w:w="0" w:type="dxa"/>
            <w:left w:w="0" w:type="dxa"/>
            <w:bottom w:w="0" w:type="dxa"/>
            <w:right w:w="0" w:type="dxa"/>
          </w:tblCellMar>
        </w:tblPrEx>
        <w:trPr>
          <w:trHeight w:val="43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一般检查</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身高、体重、体重指数（BMI） 血压（BP）、脉搏（P）</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体重是否正常，有无体重不足、超重或肥胖；有无血压脉搏异常等</w:t>
            </w: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内科</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心、肺听诊，腹部触诊</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通过视、触、叩、听检查心、肺、肝、脾等重要脏器的基本状况，发现常见疾病的相关征兆，或初步排除常见疾病。</w:t>
            </w:r>
          </w:p>
        </w:tc>
      </w:tr>
      <w:tr>
        <w:tblPrEx>
          <w:tblCellMar>
            <w:top w:w="0" w:type="dxa"/>
            <w:left w:w="0" w:type="dxa"/>
            <w:bottom w:w="0" w:type="dxa"/>
            <w:right w:w="0" w:type="dxa"/>
          </w:tblCellMar>
        </w:tblPrEx>
        <w:trPr>
          <w:trHeight w:val="57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外科</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浅表淋巴结，甲状腺、乳房、脊柱、四肢、外生殖器、前列腺、肛肠指检、皮肤等</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淋巴结有无肿大，甲状腺、乳房、外生殖器、前列腺、肛肠有无异常、四肢脊柱有无畸形等</w:t>
            </w: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耳鼻喉检查</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外耳道、鼓膜、鼻腔、鼻中隔、扁桃体、咽部</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通过对耳、鼻、咽、喉等器官的常规检查，初步筛查常见疾病。</w:t>
            </w:r>
          </w:p>
        </w:tc>
      </w:tr>
      <w:tr>
        <w:tblPrEx>
          <w:tblCellMar>
            <w:top w:w="0" w:type="dxa"/>
            <w:left w:w="0" w:type="dxa"/>
            <w:bottom w:w="0" w:type="dxa"/>
            <w:right w:w="0" w:type="dxa"/>
          </w:tblCellMar>
        </w:tblPrEx>
        <w:trPr>
          <w:trHeight w:val="459"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口腔科</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口腔检查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了解口腔黏膜是否病变和龋齿等</w:t>
            </w:r>
          </w:p>
        </w:tc>
      </w:tr>
      <w:tr>
        <w:tblPrEx>
          <w:tblCellMar>
            <w:top w:w="0" w:type="dxa"/>
            <w:left w:w="0" w:type="dxa"/>
            <w:bottom w:w="0" w:type="dxa"/>
            <w:right w:w="0" w:type="dxa"/>
          </w:tblCellMar>
        </w:tblPrEx>
        <w:trPr>
          <w:trHeight w:val="459" w:hRule="atLeast"/>
        </w:trPr>
        <w:tc>
          <w:tcPr>
            <w:tcW w:w="140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眼科</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外眼</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视力是否正常，眼外观是否正常，有无沙眼、结膜炎等</w:t>
            </w:r>
          </w:p>
        </w:tc>
      </w:tr>
      <w:tr>
        <w:tblPrEx>
          <w:tblCellMar>
            <w:top w:w="0" w:type="dxa"/>
            <w:left w:w="0" w:type="dxa"/>
            <w:bottom w:w="0" w:type="dxa"/>
            <w:right w:w="0" w:type="dxa"/>
          </w:tblCellMar>
        </w:tblPrEx>
        <w:trPr>
          <w:trHeight w:val="549"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exact"/>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眼底</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眼底有无黄斑变性和动脉硬化等</w:t>
            </w: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静态心电图（ECG）</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十二导心电图</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用于心律失常（如早搏、传导障碍等）、心肌缺血、心肌梗塞、心房、心室肥大等诊断</w:t>
            </w:r>
          </w:p>
        </w:tc>
      </w:tr>
      <w:tr>
        <w:tblPrEx>
          <w:tblCellMar>
            <w:top w:w="0" w:type="dxa"/>
            <w:left w:w="0" w:type="dxa"/>
            <w:bottom w:w="0" w:type="dxa"/>
            <w:right w:w="0" w:type="dxa"/>
          </w:tblCellMar>
        </w:tblPrEx>
        <w:trPr>
          <w:trHeight w:val="43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血常规18项</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检查白细胞、红细胞、血小板等</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小细胞性贫血，巨幼细胞贫血，恶性贫血，再生障碍性贫血，溶血性贫血，白血病，粒细胞减少，血小板减少，淋巴细胞减少，感染等。</w:t>
            </w:r>
          </w:p>
        </w:tc>
      </w:tr>
      <w:tr>
        <w:tblPrEx>
          <w:tblCellMar>
            <w:top w:w="0" w:type="dxa"/>
            <w:left w:w="0" w:type="dxa"/>
            <w:bottom w:w="0" w:type="dxa"/>
            <w:right w:w="0" w:type="dxa"/>
          </w:tblCellMar>
        </w:tblPrEx>
        <w:trPr>
          <w:trHeight w:val="151" w:hRule="atLeast"/>
        </w:trPr>
        <w:tc>
          <w:tcPr>
            <w:tcW w:w="140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肝功能11项</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丙氨酸氨基转氨酶（ALT）</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可提示肝胆系统疾病：急性传染性肝炎，中毒性肝炎，脂肪肝，胆管炎，胆囊炎，药物中毒性肝炎，酒精性肝炎和黄疸等。</w:t>
            </w: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总胆红素(TBil)</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谷草转氨酶（AST）</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谷氨酰转肽酶(GGT)</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碱性磷酸酶(ALP)</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总蛋白(TP)</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球蛋白</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白蛋白（ALB） </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白/球比值</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间接胆红素</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直接胆红素</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肾功能3项</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尿素氮（BUN）、肌酐（Cr）、尿酸（UA）</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可提示有无肾功能损害：如慢性肾炎，肾盂肾炎，肾结核，肾肿瘤，尿毒症等。</w:t>
            </w:r>
          </w:p>
        </w:tc>
      </w:tr>
      <w:tr>
        <w:tblPrEx>
          <w:tblCellMar>
            <w:top w:w="0" w:type="dxa"/>
            <w:left w:w="0" w:type="dxa"/>
            <w:bottom w:w="0" w:type="dxa"/>
            <w:right w:w="0" w:type="dxa"/>
          </w:tblCellMar>
        </w:tblPrEx>
        <w:trPr>
          <w:trHeight w:val="151" w:hRule="atLeast"/>
        </w:trPr>
        <w:tc>
          <w:tcPr>
            <w:tcW w:w="140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血脂</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总胆固醇(TC)</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甘油三脂（TG）</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高密度脂蛋白(HDL)</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低密度脂蛋白(LDL)</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29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动脉粥样硬化指数(1-4必选）</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血糖</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空腹血糖</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从血糖水平了解是否有低血糖、糖尿病.了解血糖控制情况等</w:t>
            </w:r>
          </w:p>
        </w:tc>
      </w:tr>
      <w:tr>
        <w:tblPrEx>
          <w:tblCellMar>
            <w:top w:w="0" w:type="dxa"/>
            <w:left w:w="0" w:type="dxa"/>
            <w:bottom w:w="0" w:type="dxa"/>
            <w:right w:w="0" w:type="dxa"/>
          </w:tblCellMar>
        </w:tblPrEx>
        <w:trPr>
          <w:trHeight w:val="291" w:hRule="atLeast"/>
        </w:trPr>
        <w:tc>
          <w:tcPr>
            <w:tcW w:w="140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肿瘤标志物检测</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甲胎蛋白（AFP）定量</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对原发性肝癌的诊断、疗效观察和预后评估有重要的临床意义。在卵巢、胃、胰腺癌、睾丸癌等肿瘤及肝炎、肝硬化等疾病也有异常发现。</w:t>
            </w: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癌胚抗原（CEA）定量</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为广谱肿瘤标志物，可提示直肠癌、结肠癌、肺癌、乳腺癌、胰腺癌等</w:t>
            </w:r>
          </w:p>
        </w:tc>
      </w:tr>
      <w:tr>
        <w:tblPrEx>
          <w:tblCellMar>
            <w:top w:w="0" w:type="dxa"/>
            <w:left w:w="0" w:type="dxa"/>
            <w:bottom w:w="0" w:type="dxa"/>
            <w:right w:w="0" w:type="dxa"/>
          </w:tblCellMar>
        </w:tblPrEx>
        <w:trPr>
          <w:trHeight w:val="71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尿常规12项</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颜色、比重、酸碱度、尿糖、隐血、尿胆素、尿胆原、胆红素、尿蛋白、亚硝酸盐、尿沉渣检查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可提示有无泌尿系统疾患：如急、慢性肾炎，肾盂肾炎，膀胱炎，尿道炎，肾病综合征，狼疮性肾炎，血红蛋白尿，肾梗塞、肾小管重金属盐及药物导致急性肾小管坏死，肾或膀胱肿瘤以及有无尿糖等</w:t>
            </w:r>
          </w:p>
        </w:tc>
      </w:tr>
      <w:tr>
        <w:tblPrEx>
          <w:tblCellMar>
            <w:top w:w="0" w:type="dxa"/>
            <w:left w:w="0" w:type="dxa"/>
            <w:bottom w:w="0" w:type="dxa"/>
            <w:right w:w="0" w:type="dxa"/>
          </w:tblCellMar>
        </w:tblPrEx>
        <w:trPr>
          <w:trHeight w:val="15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CT</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胸部CT（不出片）</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有无肺炎、肺气肿、肺结核、肺癌及心脏、主动脉、纵膈、横膈疾病等</w:t>
            </w: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高清彩色多普勒B超</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肝胆脾胰肾</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各脏器有无形态学改变及占位性病变（肿瘤、结石、炎症等）。</w:t>
            </w:r>
          </w:p>
        </w:tc>
      </w:tr>
      <w:tr>
        <w:tblPrEx>
          <w:tblCellMar>
            <w:top w:w="0" w:type="dxa"/>
            <w:left w:w="0" w:type="dxa"/>
            <w:bottom w:w="0" w:type="dxa"/>
            <w:right w:w="0" w:type="dxa"/>
          </w:tblCellMar>
        </w:tblPrEx>
        <w:trPr>
          <w:trHeight w:val="15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甲状腺</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检查甲状腺是否有结节、囊肿或肿瘤等</w:t>
            </w:r>
          </w:p>
        </w:tc>
      </w:tr>
      <w:tr>
        <w:tblPrEx>
          <w:tblCellMar>
            <w:top w:w="0" w:type="dxa"/>
            <w:left w:w="0" w:type="dxa"/>
            <w:bottom w:w="0" w:type="dxa"/>
            <w:right w:w="0" w:type="dxa"/>
          </w:tblCellMar>
        </w:tblPrEx>
        <w:trPr>
          <w:trHeight w:val="15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前列腺</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检查前列腺是否有增生或肿瘤。</w:t>
            </w:r>
          </w:p>
        </w:tc>
      </w:tr>
      <w:tr>
        <w:tblPrEx>
          <w:tblCellMar>
            <w:top w:w="0" w:type="dxa"/>
            <w:left w:w="0" w:type="dxa"/>
            <w:bottom w:w="0" w:type="dxa"/>
            <w:right w:w="0" w:type="dxa"/>
          </w:tblCellMar>
        </w:tblPrEx>
        <w:trPr>
          <w:trHeight w:val="15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膀胱、输尿管</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检查膀胱是否有结石或肿瘤等</w:t>
            </w:r>
          </w:p>
        </w:tc>
      </w:tr>
      <w:tr>
        <w:tblPrEx>
          <w:tblCellMar>
            <w:top w:w="0" w:type="dxa"/>
            <w:left w:w="0" w:type="dxa"/>
            <w:bottom w:w="0" w:type="dxa"/>
            <w:right w:w="0" w:type="dxa"/>
          </w:tblCellMar>
        </w:tblPrEx>
        <w:trPr>
          <w:trHeight w:val="291" w:hRule="atLeast"/>
        </w:trPr>
        <w:tc>
          <w:tcPr>
            <w:tcW w:w="14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核磁不出片</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MRI头颅平扫（50周岁以上）</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1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c>
          <w:tcPr>
            <w:tcW w:w="18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c>
          <w:tcPr>
            <w:tcW w:w="441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151" w:hRule="atLeast"/>
        </w:trPr>
        <w:tc>
          <w:tcPr>
            <w:tcW w:w="140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增值</w:t>
            </w:r>
            <w:r>
              <w:rPr>
                <w:rFonts w:hint="eastAsia" w:ascii="仿宋_GB2312" w:hAnsi="仿宋_GB2312" w:eastAsia="仿宋_GB2312" w:cs="仿宋_GB2312"/>
                <w:b/>
                <w:kern w:val="0"/>
                <w:sz w:val="24"/>
                <w:szCs w:val="24"/>
              </w:rPr>
              <w:br w:type="textWrapping"/>
            </w:r>
            <w:r>
              <w:rPr>
                <w:rFonts w:hint="eastAsia" w:ascii="仿宋_GB2312" w:hAnsi="仿宋_GB2312" w:eastAsia="仿宋_GB2312" w:cs="仿宋_GB2312"/>
                <w:b/>
                <w:kern w:val="0"/>
                <w:sz w:val="24"/>
                <w:szCs w:val="24"/>
              </w:rPr>
              <w:t>服务</w:t>
            </w: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免费营养早餐</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易于吸收的高营养早餐。</w:t>
            </w: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网上电子体检报告查询</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方便您随时随地查询报告。</w:t>
            </w:r>
          </w:p>
        </w:tc>
      </w:tr>
      <w:tr>
        <w:tblPrEx>
          <w:tblCellMar>
            <w:top w:w="0" w:type="dxa"/>
            <w:left w:w="0" w:type="dxa"/>
            <w:bottom w:w="0" w:type="dxa"/>
            <w:right w:w="0" w:type="dxa"/>
          </w:tblCellMar>
        </w:tblPrEx>
        <w:trPr>
          <w:trHeight w:val="15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重大病情、异常提醒</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提高治愈几率。</w:t>
            </w:r>
          </w:p>
        </w:tc>
      </w:tr>
      <w:tr>
        <w:tblPrEx>
          <w:tblCellMar>
            <w:top w:w="0" w:type="dxa"/>
            <w:left w:w="0" w:type="dxa"/>
            <w:bottom w:w="0" w:type="dxa"/>
            <w:right w:w="0" w:type="dxa"/>
          </w:tblCellMar>
        </w:tblPrEx>
        <w:trPr>
          <w:trHeight w:val="29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全国三甲医院绿色就医通道</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方便出行就医。</w:t>
            </w:r>
          </w:p>
        </w:tc>
      </w:tr>
      <w:tr>
        <w:tblPrEx>
          <w:tblCellMar>
            <w:top w:w="0" w:type="dxa"/>
            <w:left w:w="0" w:type="dxa"/>
            <w:bottom w:w="0" w:type="dxa"/>
            <w:right w:w="0" w:type="dxa"/>
          </w:tblCellMar>
        </w:tblPrEx>
        <w:trPr>
          <w:trHeight w:val="291" w:hRule="atLeast"/>
        </w:trPr>
        <w:tc>
          <w:tcPr>
            <w:tcW w:w="140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b/>
                <w:sz w:val="24"/>
                <w:szCs w:val="24"/>
              </w:rPr>
            </w:pPr>
          </w:p>
        </w:tc>
        <w:tc>
          <w:tcPr>
            <w:tcW w:w="36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终身健康档案建立、管理</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8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744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终身服务于您，帮您管理好您的身体健康。</w:t>
            </w:r>
          </w:p>
        </w:tc>
      </w:tr>
      <w:tr>
        <w:tblPrEx>
          <w:tblCellMar>
            <w:top w:w="0" w:type="dxa"/>
            <w:left w:w="0" w:type="dxa"/>
            <w:bottom w:w="0" w:type="dxa"/>
            <w:right w:w="0" w:type="dxa"/>
          </w:tblCellMar>
        </w:tblPrEx>
        <w:trPr>
          <w:trHeight w:val="151" w:hRule="atLeast"/>
        </w:trPr>
        <w:tc>
          <w:tcPr>
            <w:tcW w:w="1403" w:type="dxa"/>
            <w:tcBorders>
              <w:top w:val="single" w:color="auto" w:sz="4" w:space="0"/>
              <w:left w:val="nil"/>
              <w:bottom w:val="nil"/>
              <w:right w:val="nil"/>
            </w:tcBorders>
            <w:noWrap/>
            <w:tcMar>
              <w:top w:w="15" w:type="dxa"/>
              <w:left w:w="15" w:type="dxa"/>
              <w:right w:w="15" w:type="dxa"/>
            </w:tcMar>
            <w:vAlign w:val="bottom"/>
          </w:tcPr>
          <w:p>
            <w:pPr>
              <w:jc w:val="center"/>
              <w:rPr>
                <w:rFonts w:ascii="仿宋_GB2312" w:hAnsi="仿宋_GB2312" w:eastAsia="仿宋_GB2312" w:cs="仿宋_GB2312"/>
                <w:sz w:val="24"/>
                <w:szCs w:val="24"/>
              </w:rPr>
            </w:pPr>
          </w:p>
        </w:tc>
        <w:tc>
          <w:tcPr>
            <w:tcW w:w="3670" w:type="dxa"/>
            <w:tcBorders>
              <w:top w:val="single" w:color="auto" w:sz="4" w:space="0"/>
              <w:left w:val="nil"/>
              <w:bottom w:val="nil"/>
              <w:right w:val="nil"/>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900" w:type="dxa"/>
            <w:tcBorders>
              <w:top w:val="single" w:color="auto" w:sz="4" w:space="0"/>
              <w:left w:val="nil"/>
              <w:bottom w:val="nil"/>
              <w:right w:val="nil"/>
            </w:tcBorders>
            <w:noWrap/>
            <w:tcMar>
              <w:top w:w="15" w:type="dxa"/>
              <w:left w:w="15" w:type="dxa"/>
              <w:right w:w="15" w:type="dxa"/>
            </w:tcMar>
            <w:vAlign w:val="bottom"/>
          </w:tcPr>
          <w:p>
            <w:pPr>
              <w:widowControl/>
              <w:jc w:val="center"/>
              <w:textAlignment w:val="bottom"/>
              <w:rPr>
                <w:rFonts w:ascii="仿宋_GB2312" w:hAnsi="仿宋_GB2312" w:eastAsia="仿宋_GB2312" w:cs="仿宋_GB2312"/>
                <w:b/>
                <w:sz w:val="24"/>
                <w:szCs w:val="24"/>
              </w:rPr>
            </w:pPr>
          </w:p>
        </w:tc>
        <w:tc>
          <w:tcPr>
            <w:tcW w:w="881" w:type="dxa"/>
            <w:tcBorders>
              <w:top w:val="single" w:color="auto" w:sz="4" w:space="0"/>
              <w:left w:val="nil"/>
              <w:bottom w:val="nil"/>
              <w:right w:val="nil"/>
            </w:tcBorders>
            <w:noWrap/>
            <w:tcMar>
              <w:top w:w="15" w:type="dxa"/>
              <w:left w:w="15" w:type="dxa"/>
              <w:right w:w="15" w:type="dxa"/>
            </w:tcMar>
            <w:vAlign w:val="bottom"/>
          </w:tcPr>
          <w:p>
            <w:pPr>
              <w:widowControl/>
              <w:jc w:val="center"/>
              <w:textAlignment w:val="bottom"/>
              <w:rPr>
                <w:rFonts w:ascii="仿宋_GB2312" w:hAnsi="仿宋_GB2312" w:eastAsia="仿宋_GB2312" w:cs="仿宋_GB2312"/>
                <w:b/>
                <w:sz w:val="24"/>
                <w:szCs w:val="24"/>
              </w:rPr>
            </w:pPr>
          </w:p>
        </w:tc>
        <w:tc>
          <w:tcPr>
            <w:tcW w:w="1178" w:type="dxa"/>
            <w:tcBorders>
              <w:top w:val="single" w:color="auto" w:sz="4" w:space="0"/>
              <w:left w:val="nil"/>
              <w:bottom w:val="nil"/>
              <w:right w:val="nil"/>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847" w:type="dxa"/>
            <w:tcBorders>
              <w:top w:val="single" w:color="auto" w:sz="4" w:space="0"/>
              <w:left w:val="nil"/>
              <w:bottom w:val="nil"/>
              <w:right w:val="nil"/>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4416" w:type="dxa"/>
            <w:gridSpan w:val="2"/>
            <w:tcBorders>
              <w:top w:val="single" w:color="auto" w:sz="4" w:space="0"/>
              <w:left w:val="nil"/>
              <w:bottom w:val="nil"/>
              <w:right w:val="nil"/>
            </w:tcBorders>
            <w:noWrap/>
            <w:tcMar>
              <w:top w:w="15" w:type="dxa"/>
              <w:left w:w="15" w:type="dxa"/>
              <w:right w:w="15" w:type="dxa"/>
            </w:tcMar>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1.异地的同志可以凭在学校相关部门登记身份证，在全国700余家美年大健康享受同等项目。</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2.50周岁以上赠送价值650元的西门子1.5T超导头部核磁项目。</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3.低剂量西门子螺旋CT 100%用于体检客户，不用二次预约。</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4.支持医保卡加项刷卡。</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5.支付宝和微信公众号（美年大健康盐城），随时查询电子报告，永久保存。</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jc w:val="left"/>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6.体检报告都送达各二级学院或本人。</w:t>
            </w:r>
          </w:p>
        </w:tc>
      </w:tr>
      <w:tr>
        <w:tblPrEx>
          <w:tblCellMar>
            <w:top w:w="0" w:type="dxa"/>
            <w:left w:w="0" w:type="dxa"/>
            <w:bottom w:w="0" w:type="dxa"/>
            <w:right w:w="0" w:type="dxa"/>
          </w:tblCellMar>
        </w:tblPrEx>
        <w:trPr>
          <w:gridAfter w:val="1"/>
          <w:wAfter w:w="447" w:type="dxa"/>
          <w:trHeight w:val="147" w:hRule="atLeast"/>
        </w:trPr>
        <w:tc>
          <w:tcPr>
            <w:tcW w:w="13848" w:type="dxa"/>
            <w:gridSpan w:val="7"/>
            <w:tcBorders>
              <w:top w:val="nil"/>
              <w:left w:val="nil"/>
              <w:bottom w:val="nil"/>
              <w:right w:val="nil"/>
            </w:tcBorders>
            <w:noWrap/>
            <w:tcMar>
              <w:top w:w="15" w:type="dxa"/>
              <w:left w:w="15" w:type="dxa"/>
              <w:right w:w="15" w:type="dxa"/>
            </w:tcMar>
            <w:vAlign w:val="bottom"/>
          </w:tcPr>
          <w:p>
            <w:pPr>
              <w:widowControl/>
              <w:textAlignment w:val="bottom"/>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健康顾问:左玲玲18651530518（微信同号）</w:t>
            </w:r>
          </w:p>
        </w:tc>
      </w:tr>
    </w:tbl>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widowControl/>
        <w:jc w:val="left"/>
        <w:textAlignment w:val="center"/>
        <w:rPr>
          <w:rFonts w:ascii="黑体" w:hAnsi="黑体" w:eastAsia="黑体" w:cs="黑体"/>
          <w:kern w:val="0"/>
          <w:sz w:val="36"/>
          <w:szCs w:val="36"/>
        </w:rPr>
      </w:pPr>
      <w:r>
        <w:rPr>
          <w:rFonts w:hint="eastAsia" w:ascii="黑体" w:hAnsi="黑体" w:eastAsia="黑体" w:cs="黑体"/>
          <w:kern w:val="0"/>
          <w:sz w:val="28"/>
          <w:szCs w:val="28"/>
        </w:rPr>
        <w:t>附件2-2</w:t>
      </w:r>
    </w:p>
    <w:p>
      <w:pPr>
        <w:widowControl/>
        <w:jc w:val="center"/>
        <w:textAlignment w:val="center"/>
        <w:rPr>
          <w:rFonts w:ascii="仿宋_GB2312" w:hAnsi="仿宋_GB2312" w:eastAsia="仿宋_GB2312" w:cs="仿宋_GB2312"/>
          <w:sz w:val="24"/>
          <w:szCs w:val="24"/>
        </w:rPr>
      </w:pPr>
      <w:r>
        <w:rPr>
          <w:rFonts w:hint="eastAsia" w:ascii="黑体" w:hAnsi="黑体" w:eastAsia="黑体" w:cs="黑体"/>
          <w:kern w:val="0"/>
          <w:sz w:val="36"/>
          <w:szCs w:val="36"/>
        </w:rPr>
        <w:t>美年大健康体检中心体检项目表（退休人员套餐）</w:t>
      </w:r>
    </w:p>
    <w:tbl>
      <w:tblPr>
        <w:tblStyle w:val="4"/>
        <w:tblW w:w="14427"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482"/>
        <w:gridCol w:w="2820"/>
        <w:gridCol w:w="690"/>
        <w:gridCol w:w="600"/>
        <w:gridCol w:w="1593"/>
        <w:gridCol w:w="1868"/>
        <w:gridCol w:w="537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302" w:type="dxa"/>
            <w:gridSpan w:val="2"/>
            <w:shd w:val="clear" w:color="auto" w:fill="BFBFBF"/>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体检项目</w:t>
            </w:r>
          </w:p>
        </w:tc>
        <w:tc>
          <w:tcPr>
            <w:tcW w:w="690" w:type="dxa"/>
            <w:shd w:val="clear" w:color="auto" w:fill="BFBFBF"/>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男士</w:t>
            </w:r>
          </w:p>
        </w:tc>
        <w:tc>
          <w:tcPr>
            <w:tcW w:w="600" w:type="dxa"/>
            <w:shd w:val="clear" w:color="auto" w:fill="BFBFBF"/>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女士</w:t>
            </w:r>
          </w:p>
        </w:tc>
        <w:tc>
          <w:tcPr>
            <w:tcW w:w="8835" w:type="dxa"/>
            <w:gridSpan w:val="3"/>
            <w:shd w:val="clear" w:color="auto" w:fill="BFBFBF"/>
            <w:tcMar>
              <w:top w:w="15" w:type="dxa"/>
              <w:left w:w="15" w:type="dxa"/>
              <w:right w:w="15" w:type="dxa"/>
            </w:tcMar>
            <w:vAlign w:val="center"/>
          </w:tcPr>
          <w:p>
            <w:pPr>
              <w:widowControl/>
              <w:jc w:val="center"/>
              <w:textAlignment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临床意义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一般检查</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身高、体重、体重指数（BMI） 血压（BP）、脉搏（P）</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体重是否正常，有无体重不足、超重或肥胖；有无血压脉搏异常等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内科</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心、肺听诊，腹部触诊</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通过视、触、叩、听检查心、肺、肝、脾等重要脏器的基本状况，发现常见疾病的相关征兆，或初步排除常见疾病。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外科</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浅表淋巴结，甲状腺、乳房、脊柱、四肢、外生殖器、前列腺、肛肠指检、皮肤等</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淋巴结有无肿大，甲状腺、乳房、外生殖器、前列腺、肛肠有无异常、四肢脊柱有无畸形等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58"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耳鼻喉检查</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外耳道、鼓膜、鼻腔、鼻中隔、扁桃体、咽部</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通过对耳、鼻、咽、喉等器官的常规检查，初步筛查常见疾病。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ascii="仿宋_GB2312" w:hAnsi="仿宋_GB2312" w:eastAsia="仿宋_GB2312" w:cs="仿宋_GB2312"/>
                <w:b/>
                <w:kern w:val="0"/>
              </w:rPr>
              <w:t>口腔科</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ascii="仿宋_GB2312" w:hAnsi="仿宋_GB2312" w:eastAsia="仿宋_GB2312" w:cs="仿宋_GB2312"/>
                <w:bCs/>
                <w:kern w:val="0"/>
              </w:rPr>
              <w:t>口腔检查</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了解口腔黏膜是否病变和龋齿等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82" w:type="dxa"/>
            <w:vMerge w:val="restart"/>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眼科</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外眼</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视力是否正常，眼外观是否正常，有无沙眼、结膜炎等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眼底</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眼底有无黄斑变性和动脉硬化等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静态心电图（ECG）</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十二导心电图</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用于心律失常（如早搏、传导障碍等）、心肌缺血、心肌梗塞、心房、心室肥大等诊断</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58"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血常规18项</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检查白细胞、红细胞、血小板等</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可提示：小细胞性贫血，巨幼细胞贫血，恶性贫血，再生障碍性贫血，溶血性贫血，白血病，粒细胞减少，血小板减少，淋巴细胞减少，感染等。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restart"/>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肝功能11项</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丙氨酸氨基转氨酶（ALT）</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restart"/>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可提示肝胆系统疾病：急性传染性肝炎，中毒性肝炎，脂肪肝，胆管炎，胆囊炎，药物中毒性肝炎，酒精性肝炎和黄疸等。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总胆红素(TBil)</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谷草转氨酶（AST）</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谷氨酰转肽酶(GGT)</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碱性磷酸酶(ALP)</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总蛋白(TP)</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球蛋白</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 xml:space="preserve">白蛋白（ALB） </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白/球比值</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间接胆红素</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直接胆红素</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肾功能3项</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尿素氮（BUN）、肌酐（Cr）、尿酸（UA）</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可提示有无肾功能损害：如慢性肾炎，肾盂肾炎，肾结核，肾肿瘤，尿毒症等。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82" w:type="dxa"/>
            <w:vMerge w:val="restart"/>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血脂</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总胆固醇(TC)</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restart"/>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测定血清中血脂含量，它们的增高或降低与动脉粥样硬化的形成有很大的关系。用于评价受检者的脂肪代谢水平，血脂代谢紊乱评价、动脉粥样硬化性疾病危险性预测和营养学评价。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甘油三脂（TG）</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高密度脂蛋白(HDL)</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低密度脂蛋白(LDL)</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动脉粥样硬化指数(1-4必选）</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vMerge w:val="continue"/>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482" w:type="dxa"/>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血糖</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空腹血糖</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从血糖水平了解是否有低血糖、糖尿病.了解血糖控制情况等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482" w:type="dxa"/>
            <w:vMerge w:val="restart"/>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肿瘤标志物</w:t>
            </w:r>
          </w:p>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检测</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甲胎蛋白（AFP）定量</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对原发性肝癌的诊断、疗效观察和预后评估有重要的临床意义。在卵巢、胃、胰腺癌、睾丸癌等肿瘤及肝炎、肝硬化等疾病也有异常发现。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82" w:type="dxa"/>
            <w:vMerge w:val="continue"/>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癌胚抗原（CEA）定量</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为广谱肿瘤标志物，可提示直肠癌、结肠癌、肺癌、乳腺癌、胰腺癌等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尿常规12项</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颜色、比重、酸碱度、尿糖、隐血、尿胆素、尿胆原、胆红素、尿蛋白、亚硝酸盐、尿沉渣检查</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可提示有无泌尿系统疾患：如急、慢性肾炎，肾盂肾炎，膀胱炎，尿道炎，肾病综合征，狼疮性肾炎，血红蛋白尿，肾梗塞、肾小管重金属盐及药物导致急性肾小管坏死，肾或膀胱肿瘤以及有无尿糖等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CT</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胸部CT（不出片）</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有无肺炎、肺气肿、肺结核、肺癌及心脏、主动脉、纵膈、横膈疾病等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高清彩色多普勒B超</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肝胆脾胰肾</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各脏器有无形态学改变及占位性病变（肿瘤、结石、炎症等）。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前列腺</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检查前列腺是否有增生或肿瘤。</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膀胱、输尿管</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检查膀胱是否有结石或肿瘤等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颈动脉彩超检查</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了解颈部血管病变，狭窄程度、颈动脉硬化和颈动脉血流情况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核磁不出片</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MRI头颅平扫</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1593"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c>
          <w:tcPr>
            <w:tcW w:w="1868"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c>
          <w:tcPr>
            <w:tcW w:w="5374"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482" w:type="dxa"/>
            <w:vMerge w:val="restart"/>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r>
              <w:rPr>
                <w:rFonts w:hint="eastAsia" w:ascii="仿宋_GB2312" w:hAnsi="仿宋_GB2312" w:eastAsia="仿宋_GB2312" w:cs="仿宋_GB2312"/>
                <w:b/>
                <w:kern w:val="0"/>
              </w:rPr>
              <w:t>增值</w:t>
            </w:r>
            <w:r>
              <w:rPr>
                <w:rFonts w:hint="eastAsia" w:ascii="仿宋_GB2312" w:hAnsi="仿宋_GB2312" w:eastAsia="仿宋_GB2312" w:cs="仿宋_GB2312"/>
                <w:b/>
                <w:kern w:val="0"/>
              </w:rPr>
              <w:br w:type="textWrapping"/>
            </w:r>
            <w:r>
              <w:rPr>
                <w:rFonts w:hint="eastAsia" w:ascii="仿宋_GB2312" w:hAnsi="仿宋_GB2312" w:eastAsia="仿宋_GB2312" w:cs="仿宋_GB2312"/>
                <w:b/>
                <w:kern w:val="0"/>
              </w:rPr>
              <w:t>服务</w:t>
            </w: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免费营养早餐</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易于吸收的高营养早餐。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网上电子体检报告查询</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方便您随时随地查询报告。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重大病情、异常提醒</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提高治愈几率。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全国三甲医院绿色就医通道</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方便出行就医。</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82" w:type="dxa"/>
            <w:vMerge w:val="continue"/>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kern w:val="0"/>
              </w:rPr>
            </w:pPr>
          </w:p>
        </w:tc>
        <w:tc>
          <w:tcPr>
            <w:tcW w:w="2820" w:type="dxa"/>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终身健康档案建立、管理</w:t>
            </w:r>
          </w:p>
        </w:tc>
        <w:tc>
          <w:tcPr>
            <w:tcW w:w="69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600" w:type="dxa"/>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Cs/>
                <w:kern w:val="0"/>
              </w:rPr>
            </w:pPr>
            <w:r>
              <w:rPr>
                <w:rFonts w:ascii="仿宋_GB2312" w:hAnsi="仿宋_GB2312" w:eastAsia="仿宋_GB2312" w:cs="仿宋_GB2312"/>
                <w:bCs/>
                <w:kern w:val="0"/>
              </w:rPr>
              <w:t>√</w:t>
            </w:r>
          </w:p>
        </w:tc>
        <w:tc>
          <w:tcPr>
            <w:tcW w:w="8835" w:type="dxa"/>
            <w:gridSpan w:val="3"/>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bCs/>
                <w:kern w:val="0"/>
              </w:rPr>
            </w:pPr>
            <w:r>
              <w:rPr>
                <w:rFonts w:hint="eastAsia" w:ascii="仿宋_GB2312" w:hAnsi="仿宋_GB2312" w:eastAsia="仿宋_GB2312" w:cs="仿宋_GB2312"/>
                <w:bCs/>
                <w:kern w:val="0"/>
              </w:rPr>
              <w:t>终身服务于您，帮您管理好您的身体健康。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1.退休人员体检，集中三天安排车辆免费接送（通榆校区西大门原一号行政楼）。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2.异地的同志可以凭在学校相关部门登记身份证，在全国700余家美年大健康享受同等项目。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3.50周岁以上赠送价值650元的西门子1.5T超导头部核磁项目。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4.低剂量西门子螺旋CT 100%用于体检客户，不用二次预约。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5.支持医保卡加项刷卡。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4427" w:type="dxa"/>
            <w:gridSpan w:val="7"/>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b/>
                <w:kern w:val="0"/>
              </w:rPr>
            </w:pPr>
            <w:r>
              <w:rPr>
                <w:rFonts w:hint="eastAsia" w:ascii="仿宋_GB2312" w:hAnsi="仿宋_GB2312" w:eastAsia="仿宋_GB2312" w:cs="仿宋_GB2312"/>
                <w:b/>
                <w:kern w:val="0"/>
              </w:rPr>
              <w:t>6.支付宝和微信公众号（美年大健康盐城），随时查询电子报告，永久保存。</w:t>
            </w:r>
          </w:p>
        </w:tc>
      </w:tr>
    </w:tbl>
    <w:p>
      <w:pPr>
        <w:widowControl/>
        <w:jc w:val="left"/>
        <w:textAlignment w:val="center"/>
        <w:rPr>
          <w:rFonts w:hint="eastAsia" w:ascii="黑体" w:hAnsi="黑体" w:eastAsia="黑体" w:cs="黑体"/>
          <w:kern w:val="0"/>
          <w:sz w:val="28"/>
          <w:szCs w:val="28"/>
        </w:rPr>
      </w:pPr>
    </w:p>
    <w:p>
      <w:pPr>
        <w:widowControl/>
        <w:jc w:val="left"/>
        <w:textAlignment w:val="center"/>
        <w:rPr>
          <w:rFonts w:ascii="黑体" w:hAnsi="黑体" w:eastAsia="黑体" w:cs="黑体"/>
          <w:kern w:val="0"/>
          <w:sz w:val="28"/>
          <w:szCs w:val="28"/>
        </w:rPr>
      </w:pPr>
      <w:r>
        <w:rPr>
          <w:rFonts w:hint="eastAsia" w:ascii="黑体" w:hAnsi="黑体" w:eastAsia="黑体" w:cs="黑体"/>
          <w:kern w:val="0"/>
          <w:sz w:val="28"/>
          <w:szCs w:val="28"/>
        </w:rPr>
        <w:t>附件3</w:t>
      </w:r>
    </w:p>
    <w:tbl>
      <w:tblPr>
        <w:tblStyle w:val="4"/>
        <w:tblW w:w="13941" w:type="dxa"/>
        <w:tblInd w:w="0" w:type="dxa"/>
        <w:tblLayout w:type="fixed"/>
        <w:tblCellMar>
          <w:top w:w="0" w:type="dxa"/>
          <w:left w:w="0" w:type="dxa"/>
          <w:bottom w:w="0" w:type="dxa"/>
          <w:right w:w="0" w:type="dxa"/>
        </w:tblCellMar>
      </w:tblPr>
      <w:tblGrid>
        <w:gridCol w:w="1229"/>
        <w:gridCol w:w="2381"/>
        <w:gridCol w:w="10331"/>
      </w:tblGrid>
      <w:tr>
        <w:tblPrEx>
          <w:tblCellMar>
            <w:top w:w="0" w:type="dxa"/>
            <w:left w:w="0" w:type="dxa"/>
            <w:bottom w:w="0" w:type="dxa"/>
            <w:right w:w="0" w:type="dxa"/>
          </w:tblCellMar>
        </w:tblPrEx>
        <w:trPr>
          <w:trHeight w:val="450" w:hRule="atLeast"/>
        </w:trPr>
        <w:tc>
          <w:tcPr>
            <w:tcW w:w="13941" w:type="dxa"/>
            <w:gridSpan w:val="3"/>
            <w:tcBorders>
              <w:top w:val="nil"/>
              <w:left w:val="nil"/>
              <w:bottom w:val="single" w:color="000000" w:sz="4" w:space="0"/>
              <w:right w:val="nil"/>
            </w:tcBorders>
            <w:noWrap/>
            <w:tcMar>
              <w:top w:w="15" w:type="dxa"/>
              <w:left w:w="15" w:type="dxa"/>
              <w:right w:w="15" w:type="dxa"/>
            </w:tcMar>
            <w:vAlign w:val="bottom"/>
          </w:tcPr>
          <w:p>
            <w:pPr>
              <w:widowControl/>
              <w:jc w:val="center"/>
              <w:textAlignment w:val="bottom"/>
              <w:rPr>
                <w:rFonts w:ascii="仿宋_GB2312" w:hAnsi="宋体" w:eastAsia="仿宋_GB2312" w:cs="仿宋_GB2312"/>
                <w:sz w:val="36"/>
                <w:szCs w:val="36"/>
              </w:rPr>
            </w:pPr>
            <w:r>
              <w:rPr>
                <w:rFonts w:hint="eastAsia" w:ascii="黑体" w:hAnsi="黑体" w:eastAsia="黑体" w:cs="黑体"/>
                <w:kern w:val="0"/>
                <w:sz w:val="36"/>
                <w:szCs w:val="36"/>
              </w:rPr>
              <w:t>盐城市第一人民医院体检中心妇女病普查项目表</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bCs/>
                <w:sz w:val="32"/>
                <w:szCs w:val="32"/>
              </w:rPr>
            </w:pPr>
            <w:r>
              <w:rPr>
                <w:rFonts w:hint="eastAsia" w:ascii="仿宋_GB2312" w:hAnsi="宋体" w:eastAsia="仿宋_GB2312" w:cs="仿宋_GB2312"/>
                <w:b/>
                <w:bCs/>
                <w:kern w:val="0"/>
                <w:sz w:val="32"/>
                <w:szCs w:val="32"/>
              </w:rPr>
              <w:t>序号</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bCs/>
                <w:sz w:val="32"/>
                <w:szCs w:val="32"/>
              </w:rPr>
            </w:pPr>
            <w:r>
              <w:rPr>
                <w:rFonts w:hint="eastAsia" w:ascii="仿宋_GB2312" w:hAnsi="宋体" w:eastAsia="仿宋_GB2312" w:cs="仿宋_GB2312"/>
                <w:b/>
                <w:bCs/>
                <w:kern w:val="0"/>
                <w:sz w:val="32"/>
                <w:szCs w:val="32"/>
              </w:rPr>
              <w:t>项目</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bCs/>
                <w:sz w:val="32"/>
                <w:szCs w:val="32"/>
              </w:rPr>
            </w:pPr>
            <w:r>
              <w:rPr>
                <w:rFonts w:hint="eastAsia" w:ascii="仿宋_GB2312" w:hAnsi="宋体" w:eastAsia="仿宋_GB2312" w:cs="仿宋_GB2312"/>
                <w:b/>
                <w:bCs/>
                <w:kern w:val="0"/>
                <w:sz w:val="32"/>
                <w:szCs w:val="32"/>
              </w:rPr>
              <w:t>项目意义</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白带常规</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用于检查阴道内有无滴虫、念珠菌，同时还可确定阴道清洁度，是筛查阴道炎德有效手段。</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2</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宫颈LPT</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是筛查宫颈早期病变较先进的检测方法，同时还能发现部分癌前病变，微生物感染如霉菌、滴虫、病毒、衣原体、人乳头瘤病毒等。</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3</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HPV23分型</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HPV是导致宫颈癌的病原体，通过HPV分型检测能很好的预防宫颈癌。</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4</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彩超子宫、附件</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观察子宫及附件大小、形态结构及内部回声的情况，鉴别正常和异常。</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乳腺彩超</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筛查乳腺增生、肿物、结节、囊肿、腺瘤、乳腺癌等病变。</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6</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糖类抗原CA-125</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在卵巢癌中有较高的阳性率。</w:t>
            </w:r>
          </w:p>
        </w:tc>
      </w:tr>
      <w:tr>
        <w:tblPrEx>
          <w:tblCellMar>
            <w:top w:w="0" w:type="dxa"/>
            <w:left w:w="0" w:type="dxa"/>
            <w:bottom w:w="0" w:type="dxa"/>
            <w:right w:w="0"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7</w:t>
            </w:r>
          </w:p>
        </w:tc>
        <w:tc>
          <w:tcPr>
            <w:tcW w:w="2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糖类抗原CA-153</w:t>
            </w:r>
          </w:p>
        </w:tc>
        <w:tc>
          <w:tcPr>
            <w:tcW w:w="10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在乳腺癌中有较高的阳性率。</w:t>
            </w:r>
          </w:p>
        </w:tc>
      </w:tr>
    </w:tbl>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widowControl/>
        <w:jc w:val="left"/>
        <w:textAlignment w:val="center"/>
        <w:rPr>
          <w:rFonts w:ascii="黑体" w:hAnsi="黑体" w:eastAsia="黑体" w:cs="黑体"/>
          <w:kern w:val="0"/>
          <w:sz w:val="28"/>
          <w:szCs w:val="28"/>
        </w:rPr>
      </w:pPr>
      <w:r>
        <w:rPr>
          <w:rFonts w:hint="eastAsia" w:ascii="黑体" w:hAnsi="黑体" w:eastAsia="黑体" w:cs="黑体"/>
          <w:kern w:val="0"/>
          <w:sz w:val="28"/>
          <w:szCs w:val="28"/>
        </w:rPr>
        <w:t>附件4</w:t>
      </w:r>
    </w:p>
    <w:p>
      <w:pPr>
        <w:widowControl/>
        <w:spacing w:line="120" w:lineRule="auto"/>
        <w:jc w:val="center"/>
        <w:textAlignment w:val="center"/>
        <w:rPr>
          <w:rFonts w:ascii="仿宋_GB2312" w:hAnsi="仿宋_GB2312" w:eastAsia="仿宋_GB2312" w:cs="仿宋_GB2312"/>
          <w:sz w:val="32"/>
          <w:szCs w:val="32"/>
        </w:rPr>
      </w:pPr>
      <w:r>
        <w:rPr>
          <w:rFonts w:hint="eastAsia" w:ascii="黑体" w:hAnsi="黑体" w:eastAsia="黑体" w:cs="黑体"/>
          <w:kern w:val="0"/>
          <w:sz w:val="32"/>
          <w:szCs w:val="32"/>
        </w:rPr>
        <w:t>美年大健康体检中心妇女病普查项目表</w:t>
      </w:r>
    </w:p>
    <w:tbl>
      <w:tblPr>
        <w:tblStyle w:val="4"/>
        <w:tblW w:w="12443" w:type="dxa"/>
        <w:jc w:val="center"/>
        <w:tblLayout w:type="fixed"/>
        <w:tblCellMar>
          <w:top w:w="0" w:type="dxa"/>
          <w:left w:w="0" w:type="dxa"/>
          <w:bottom w:w="0" w:type="dxa"/>
          <w:right w:w="0" w:type="dxa"/>
        </w:tblCellMar>
      </w:tblPr>
      <w:tblGrid>
        <w:gridCol w:w="1839"/>
        <w:gridCol w:w="2259"/>
        <w:gridCol w:w="8345"/>
      </w:tblGrid>
      <w:tr>
        <w:tblPrEx>
          <w:tblCellMar>
            <w:top w:w="0" w:type="dxa"/>
            <w:left w:w="0" w:type="dxa"/>
            <w:bottom w:w="0" w:type="dxa"/>
            <w:right w:w="0" w:type="dxa"/>
          </w:tblCellMar>
        </w:tblPrEx>
        <w:trPr>
          <w:trHeight w:val="90" w:hRule="atLeast"/>
          <w:jc w:val="center"/>
        </w:trPr>
        <w:tc>
          <w:tcPr>
            <w:tcW w:w="4098" w:type="dxa"/>
            <w:gridSpan w:val="2"/>
            <w:tcBorders>
              <w:top w:val="single" w:color="000000" w:sz="4" w:space="0"/>
              <w:left w:val="single" w:color="000000" w:sz="4" w:space="0"/>
              <w:bottom w:val="nil"/>
              <w:right w:val="single" w:color="000000" w:sz="4" w:space="0"/>
            </w:tcBorders>
            <w:shd w:val="clear" w:color="auto" w:fill="C0C0C0"/>
            <w:noWrap/>
            <w:tcMar>
              <w:top w:w="15" w:type="dxa"/>
              <w:left w:w="15" w:type="dxa"/>
              <w:right w:w="15" w:type="dxa"/>
            </w:tcMar>
            <w:vAlign w:val="center"/>
          </w:tcPr>
          <w:p>
            <w:pPr>
              <w:widowControl/>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体检项目</w:t>
            </w:r>
          </w:p>
        </w:tc>
        <w:tc>
          <w:tcPr>
            <w:tcW w:w="8345" w:type="dxa"/>
            <w:tcBorders>
              <w:top w:val="single" w:color="000000" w:sz="4" w:space="0"/>
              <w:left w:val="single" w:color="000000" w:sz="4" w:space="0"/>
              <w:bottom w:val="nil"/>
              <w:right w:val="single" w:color="000000" w:sz="4" w:space="0"/>
            </w:tcBorders>
            <w:shd w:val="clear" w:color="auto" w:fill="C0C0C0"/>
            <w:noWrap/>
            <w:tcMar>
              <w:top w:w="15" w:type="dxa"/>
              <w:left w:w="15" w:type="dxa"/>
              <w:right w:w="15" w:type="dxa"/>
            </w:tcMar>
            <w:vAlign w:val="center"/>
          </w:tcPr>
          <w:p>
            <w:pPr>
              <w:widowControl/>
              <w:jc w:val="center"/>
              <w:textAlignment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临床意义</w:t>
            </w:r>
          </w:p>
        </w:tc>
      </w:tr>
      <w:tr>
        <w:tblPrEx>
          <w:tblCellMar>
            <w:top w:w="0" w:type="dxa"/>
            <w:left w:w="0" w:type="dxa"/>
            <w:bottom w:w="0" w:type="dxa"/>
            <w:right w:w="0" w:type="dxa"/>
          </w:tblCellMar>
        </w:tblPrEx>
        <w:trPr>
          <w:trHeight w:val="209" w:hRule="atLeast"/>
          <w:jc w:val="center"/>
        </w:trPr>
        <w:tc>
          <w:tcPr>
            <w:tcW w:w="18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肿瘤标志物检测</w:t>
            </w: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CA125（女）</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是一种卵巢癌相关的肿瘤标志物</w:t>
            </w:r>
          </w:p>
        </w:tc>
      </w:tr>
      <w:tr>
        <w:tblPrEx>
          <w:tblCellMar>
            <w:top w:w="0" w:type="dxa"/>
            <w:left w:w="0" w:type="dxa"/>
            <w:bottom w:w="0" w:type="dxa"/>
            <w:right w:w="0" w:type="dxa"/>
          </w:tblCellMar>
        </w:tblPrEx>
        <w:trPr>
          <w:trHeight w:val="264" w:hRule="atLeast"/>
          <w:jc w:val="center"/>
        </w:trPr>
        <w:tc>
          <w:tcPr>
            <w:tcW w:w="18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CA153（女）</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是一种乳腺癌相关的肿瘤标志物</w:t>
            </w:r>
          </w:p>
        </w:tc>
      </w:tr>
      <w:tr>
        <w:tblPrEx>
          <w:tblCellMar>
            <w:top w:w="0" w:type="dxa"/>
            <w:left w:w="0" w:type="dxa"/>
            <w:bottom w:w="0" w:type="dxa"/>
            <w:right w:w="0" w:type="dxa"/>
          </w:tblCellMar>
        </w:tblPrEx>
        <w:trPr>
          <w:trHeight w:val="209" w:hRule="atLeast"/>
          <w:jc w:val="center"/>
        </w:trPr>
        <w:tc>
          <w:tcPr>
            <w:tcW w:w="18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高清</w:t>
            </w:r>
            <w:r>
              <w:rPr>
                <w:rFonts w:hint="eastAsia" w:ascii="仿宋_GB2312" w:hAnsi="宋体" w:eastAsia="仿宋_GB2312" w:cs="仿宋_GB2312"/>
                <w:kern w:val="0"/>
              </w:rPr>
              <w:br w:type="textWrapping"/>
            </w:r>
            <w:r>
              <w:rPr>
                <w:rFonts w:hint="eastAsia" w:ascii="仿宋_GB2312" w:hAnsi="宋体" w:eastAsia="仿宋_GB2312" w:cs="仿宋_GB2312"/>
                <w:kern w:val="0"/>
              </w:rPr>
              <w:t>彩色</w:t>
            </w:r>
            <w:r>
              <w:rPr>
                <w:rFonts w:hint="eastAsia" w:ascii="仿宋_GB2312" w:hAnsi="宋体" w:eastAsia="仿宋_GB2312" w:cs="仿宋_GB2312"/>
                <w:kern w:val="0"/>
              </w:rPr>
              <w:br w:type="textWrapping"/>
            </w:r>
            <w:r>
              <w:rPr>
                <w:rFonts w:hint="eastAsia" w:ascii="仿宋_GB2312" w:hAnsi="宋体" w:eastAsia="仿宋_GB2312" w:cs="仿宋_GB2312"/>
                <w:kern w:val="0"/>
              </w:rPr>
              <w:t>多普勒B超</w:t>
            </w: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乳房（双侧）</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检查乳腺是否有肿块或乳腺癌。</w:t>
            </w:r>
          </w:p>
        </w:tc>
      </w:tr>
      <w:tr>
        <w:tblPrEx>
          <w:tblCellMar>
            <w:top w:w="0" w:type="dxa"/>
            <w:left w:w="0" w:type="dxa"/>
            <w:bottom w:w="0" w:type="dxa"/>
            <w:right w:w="0" w:type="dxa"/>
          </w:tblCellMar>
        </w:tblPrEx>
        <w:trPr>
          <w:trHeight w:val="209" w:hRule="atLeast"/>
          <w:jc w:val="center"/>
        </w:trPr>
        <w:tc>
          <w:tcPr>
            <w:tcW w:w="18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阴道（已婚项目）</w:t>
            </w:r>
          </w:p>
        </w:tc>
        <w:tc>
          <w:tcPr>
            <w:tcW w:w="834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检查子宫及附件是否有肿瘤或卵巢囊肿。</w:t>
            </w:r>
          </w:p>
        </w:tc>
      </w:tr>
      <w:tr>
        <w:tblPrEx>
          <w:tblCellMar>
            <w:top w:w="0" w:type="dxa"/>
            <w:left w:w="0" w:type="dxa"/>
            <w:bottom w:w="0" w:type="dxa"/>
            <w:right w:w="0" w:type="dxa"/>
          </w:tblCellMar>
        </w:tblPrEx>
        <w:trPr>
          <w:trHeight w:val="209" w:hRule="atLeast"/>
          <w:jc w:val="center"/>
        </w:trPr>
        <w:tc>
          <w:tcPr>
            <w:tcW w:w="18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妇科检查</w:t>
            </w: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常规检查</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常规检查女性外阴、阴道有无炎症或生殖器有无其它异常病变</w:t>
            </w:r>
          </w:p>
        </w:tc>
      </w:tr>
      <w:tr>
        <w:tblPrEx>
          <w:tblCellMar>
            <w:top w:w="0" w:type="dxa"/>
            <w:left w:w="0" w:type="dxa"/>
            <w:bottom w:w="0" w:type="dxa"/>
            <w:right w:w="0" w:type="dxa"/>
          </w:tblCellMar>
        </w:tblPrEx>
        <w:trPr>
          <w:trHeight w:val="448" w:hRule="atLeast"/>
          <w:jc w:val="center"/>
        </w:trPr>
        <w:tc>
          <w:tcPr>
            <w:tcW w:w="18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白带常规</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用于检查阴道内有无滴虫、念珠菌，同时还可确定阴道清洁度，是筛查阴道炎的有效手段。</w:t>
            </w:r>
          </w:p>
        </w:tc>
      </w:tr>
      <w:tr>
        <w:tblPrEx>
          <w:tblCellMar>
            <w:top w:w="0" w:type="dxa"/>
            <w:left w:w="0" w:type="dxa"/>
            <w:bottom w:w="0" w:type="dxa"/>
            <w:right w:w="0" w:type="dxa"/>
          </w:tblCellMar>
        </w:tblPrEx>
        <w:trPr>
          <w:trHeight w:val="258" w:hRule="atLeast"/>
          <w:jc w:val="center"/>
        </w:trPr>
        <w:tc>
          <w:tcPr>
            <w:tcW w:w="18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TCT（液基博片细胞学检查）</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宫颈癌筛查（全国权威检验机构艾迪康出报告）</w:t>
            </w:r>
          </w:p>
        </w:tc>
      </w:tr>
      <w:tr>
        <w:tblPrEx>
          <w:tblCellMar>
            <w:top w:w="0" w:type="dxa"/>
            <w:left w:w="0" w:type="dxa"/>
            <w:bottom w:w="0" w:type="dxa"/>
            <w:right w:w="0" w:type="dxa"/>
          </w:tblCellMar>
        </w:tblPrEx>
        <w:trPr>
          <w:trHeight w:val="209" w:hRule="atLeast"/>
          <w:jc w:val="center"/>
        </w:trPr>
        <w:tc>
          <w:tcPr>
            <w:tcW w:w="18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宫颈HPV-25分型</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宫颈癌筛查的重要指标（全国权威检验机构艾迪康出报告）</w:t>
            </w:r>
          </w:p>
        </w:tc>
      </w:tr>
      <w:tr>
        <w:tblPrEx>
          <w:tblCellMar>
            <w:top w:w="0" w:type="dxa"/>
            <w:left w:w="0" w:type="dxa"/>
            <w:bottom w:w="0" w:type="dxa"/>
            <w:right w:w="0" w:type="dxa"/>
          </w:tblCellMar>
        </w:tblPrEx>
        <w:trPr>
          <w:trHeight w:val="209" w:hRule="atLeast"/>
          <w:jc w:val="center"/>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骨密度检测</w:t>
            </w: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骨密度检测</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诊断骨质疏松，预测骨折危险性</w:t>
            </w:r>
          </w:p>
        </w:tc>
      </w:tr>
      <w:tr>
        <w:tblPrEx>
          <w:tblCellMar>
            <w:top w:w="0" w:type="dxa"/>
            <w:left w:w="0" w:type="dxa"/>
            <w:bottom w:w="0" w:type="dxa"/>
            <w:right w:w="0" w:type="dxa"/>
          </w:tblCellMar>
        </w:tblPrEx>
        <w:trPr>
          <w:trHeight w:val="258" w:hRule="atLeast"/>
          <w:jc w:val="center"/>
        </w:trPr>
        <w:tc>
          <w:tcPr>
            <w:tcW w:w="1839"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增值</w:t>
            </w:r>
            <w:r>
              <w:rPr>
                <w:rFonts w:hint="eastAsia" w:ascii="仿宋_GB2312" w:hAnsi="宋体" w:eastAsia="仿宋_GB2312" w:cs="仿宋_GB2312"/>
                <w:kern w:val="0"/>
              </w:rPr>
              <w:br w:type="textWrapping"/>
            </w:r>
            <w:r>
              <w:rPr>
                <w:rFonts w:hint="eastAsia" w:ascii="仿宋_GB2312" w:hAnsi="宋体" w:eastAsia="仿宋_GB2312" w:cs="仿宋_GB2312"/>
                <w:kern w:val="0"/>
              </w:rPr>
              <w:t>服务</w:t>
            </w: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网上电子体检报告查询</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方便您随时随地查询报告。</w:t>
            </w:r>
          </w:p>
        </w:tc>
      </w:tr>
      <w:tr>
        <w:tblPrEx>
          <w:tblCellMar>
            <w:top w:w="0" w:type="dxa"/>
            <w:left w:w="0" w:type="dxa"/>
            <w:bottom w:w="0" w:type="dxa"/>
            <w:right w:w="0" w:type="dxa"/>
          </w:tblCellMar>
        </w:tblPrEx>
        <w:trPr>
          <w:trHeight w:val="258" w:hRule="atLeast"/>
          <w:jc w:val="center"/>
        </w:trPr>
        <w:tc>
          <w:tcPr>
            <w:tcW w:w="1839"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重大病情、异常提醒</w:t>
            </w:r>
          </w:p>
        </w:tc>
        <w:tc>
          <w:tcPr>
            <w:tcW w:w="8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提高治愈几率。</w:t>
            </w:r>
          </w:p>
        </w:tc>
      </w:tr>
      <w:tr>
        <w:tblPrEx>
          <w:tblCellMar>
            <w:top w:w="0" w:type="dxa"/>
            <w:left w:w="0" w:type="dxa"/>
            <w:bottom w:w="0" w:type="dxa"/>
            <w:right w:w="0" w:type="dxa"/>
          </w:tblCellMar>
        </w:tblPrEx>
        <w:trPr>
          <w:trHeight w:val="258" w:hRule="atLeast"/>
          <w:jc w:val="center"/>
        </w:trPr>
        <w:tc>
          <w:tcPr>
            <w:tcW w:w="1839" w:type="dxa"/>
            <w:vMerge w:val="continue"/>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全国三甲医院绿色就医通道</w:t>
            </w:r>
          </w:p>
        </w:tc>
        <w:tc>
          <w:tcPr>
            <w:tcW w:w="83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方便出行就医。</w:t>
            </w:r>
          </w:p>
        </w:tc>
      </w:tr>
      <w:tr>
        <w:tblPrEx>
          <w:tblCellMar>
            <w:top w:w="0" w:type="dxa"/>
            <w:left w:w="0" w:type="dxa"/>
            <w:bottom w:w="0" w:type="dxa"/>
            <w:right w:w="0" w:type="dxa"/>
          </w:tblCellMar>
        </w:tblPrEx>
        <w:trPr>
          <w:trHeight w:val="463" w:hRule="atLeast"/>
          <w:jc w:val="center"/>
        </w:trPr>
        <w:tc>
          <w:tcPr>
            <w:tcW w:w="183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p>
        </w:tc>
        <w:tc>
          <w:tcPr>
            <w:tcW w:w="2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终身健康档案建立、管理</w:t>
            </w:r>
          </w:p>
        </w:tc>
        <w:tc>
          <w:tcPr>
            <w:tcW w:w="83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终身服务于您，帮您管理好您的身体健康。</w:t>
            </w:r>
          </w:p>
        </w:tc>
      </w:tr>
    </w:tbl>
    <w:p>
      <w:pPr>
        <w:widowControl/>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tbl>
      <w:tblPr>
        <w:tblStyle w:val="4"/>
        <w:tblW w:w="14040" w:type="dxa"/>
        <w:tblInd w:w="0" w:type="dxa"/>
        <w:tblLayout w:type="fixed"/>
        <w:tblCellMar>
          <w:top w:w="0" w:type="dxa"/>
          <w:left w:w="0" w:type="dxa"/>
          <w:bottom w:w="0" w:type="dxa"/>
          <w:right w:w="0" w:type="dxa"/>
        </w:tblCellMar>
      </w:tblPr>
      <w:tblGrid>
        <w:gridCol w:w="2787"/>
        <w:gridCol w:w="2369"/>
        <w:gridCol w:w="2135"/>
        <w:gridCol w:w="6749"/>
      </w:tblGrid>
      <w:tr>
        <w:tblPrEx>
          <w:tblCellMar>
            <w:top w:w="0" w:type="dxa"/>
            <w:left w:w="0" w:type="dxa"/>
            <w:bottom w:w="0" w:type="dxa"/>
            <w:right w:w="0" w:type="dxa"/>
          </w:tblCellMar>
        </w:tblPrEx>
        <w:trPr>
          <w:trHeight w:val="1332" w:hRule="atLeast"/>
        </w:trPr>
        <w:tc>
          <w:tcPr>
            <w:tcW w:w="14040"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黑体" w:eastAsia="黑体" w:cs="黑体"/>
                <w:kern w:val="0"/>
                <w:sz w:val="28"/>
                <w:szCs w:val="28"/>
              </w:rPr>
            </w:pPr>
            <w:r>
              <w:rPr>
                <w:rFonts w:hint="eastAsia" w:ascii="黑体" w:hAnsi="黑体" w:eastAsia="黑体" w:cs="黑体"/>
                <w:kern w:val="0"/>
                <w:sz w:val="28"/>
                <w:szCs w:val="28"/>
              </w:rPr>
              <w:t>附件5</w:t>
            </w:r>
          </w:p>
          <w:p>
            <w:pPr>
              <w:widowControl/>
              <w:jc w:val="center"/>
              <w:textAlignment w:val="center"/>
              <w:rPr>
                <w:rFonts w:ascii="宋体" w:hAnsi="宋体"/>
                <w:b/>
                <w:sz w:val="24"/>
                <w:szCs w:val="24"/>
              </w:rPr>
            </w:pPr>
            <w:r>
              <w:rPr>
                <w:rFonts w:hint="eastAsia" w:ascii="黑体" w:hAnsi="黑体" w:eastAsia="黑体" w:cs="黑体"/>
                <w:bCs/>
                <w:kern w:val="0"/>
                <w:sz w:val="36"/>
                <w:szCs w:val="36"/>
              </w:rPr>
              <w:t>盐城市妇幼保健院妇女病普查项目表</w:t>
            </w:r>
          </w:p>
        </w:tc>
      </w:tr>
      <w:tr>
        <w:tblPrEx>
          <w:tblCellMar>
            <w:top w:w="0" w:type="dxa"/>
            <w:left w:w="0" w:type="dxa"/>
            <w:bottom w:w="0" w:type="dxa"/>
            <w:right w:w="0" w:type="dxa"/>
          </w:tblCellMar>
        </w:tblPrEx>
        <w:trPr>
          <w:trHeight w:val="96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检查项目</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门诊价（元）</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团体价（元）</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备注</w:t>
            </w:r>
          </w:p>
        </w:tc>
      </w:tr>
      <w:tr>
        <w:tblPrEx>
          <w:tblCellMar>
            <w:top w:w="0" w:type="dxa"/>
            <w:left w:w="0" w:type="dxa"/>
            <w:bottom w:w="0" w:type="dxa"/>
            <w:right w:w="0" w:type="dxa"/>
          </w:tblCellMar>
        </w:tblPrEx>
        <w:trPr>
          <w:trHeight w:val="82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妇检+材料</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15</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15</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82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宫颈癌病毒（HPV)</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300</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240</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82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宫颈细胞（TCT)</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150</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120</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82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乳房彩超</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155</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124</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821"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骨质疏松检测</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55</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44</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赠送</w:t>
            </w:r>
          </w:p>
        </w:tc>
      </w:tr>
      <w:tr>
        <w:tblPrEx>
          <w:tblCellMar>
            <w:top w:w="0" w:type="dxa"/>
            <w:left w:w="0" w:type="dxa"/>
            <w:bottom w:w="0" w:type="dxa"/>
            <w:right w:w="0" w:type="dxa"/>
          </w:tblCellMar>
        </w:tblPrEx>
        <w:trPr>
          <w:trHeight w:val="835" w:hRule="atLeast"/>
        </w:trPr>
        <w:tc>
          <w:tcPr>
            <w:tcW w:w="2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合计</w:t>
            </w:r>
          </w:p>
        </w:tc>
        <w:tc>
          <w:tcPr>
            <w:tcW w:w="2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675</w:t>
            </w:r>
          </w:p>
        </w:tc>
        <w:tc>
          <w:tcPr>
            <w:tcW w:w="2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543</w:t>
            </w:r>
          </w:p>
        </w:tc>
        <w:tc>
          <w:tcPr>
            <w:tcW w:w="67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499（实收480元）</w:t>
            </w:r>
          </w:p>
        </w:tc>
      </w:tr>
    </w:tbl>
    <w:p>
      <w:pPr>
        <w:widowControl/>
        <w:jc w:val="left"/>
        <w:textAlignment w:val="center"/>
        <w:rPr>
          <w:rFonts w:ascii="仿宋_GB2312" w:hAnsi="宋体" w:eastAsia="仿宋_GB2312" w:cs="仿宋_GB2312"/>
          <w:kern w:val="0"/>
          <w:sz w:val="24"/>
          <w:szCs w:val="24"/>
        </w:rPr>
      </w:pPr>
    </w:p>
    <w:p>
      <w:pPr>
        <w:widowControl/>
        <w:jc w:val="center"/>
        <w:textAlignment w:val="center"/>
        <w:rPr>
          <w:rFonts w:ascii="黑体" w:hAnsi="黑体" w:eastAsia="黑体" w:cs="黑体"/>
          <w:bCs/>
          <w:kern w:val="0"/>
          <w:sz w:val="36"/>
          <w:szCs w:val="36"/>
        </w:rPr>
        <w:sectPr>
          <w:pgSz w:w="16838" w:h="11906" w:orient="landscape"/>
          <w:pgMar w:top="1803" w:right="1440" w:bottom="1803" w:left="1440" w:header="851" w:footer="992" w:gutter="0"/>
          <w:cols w:space="720" w:num="1"/>
          <w:docGrid w:type="lines" w:linePitch="319" w:charSpace="0"/>
        </w:sectPr>
      </w:pPr>
    </w:p>
    <w:tbl>
      <w:tblPr>
        <w:tblStyle w:val="4"/>
        <w:tblW w:w="14520" w:type="dxa"/>
        <w:tblInd w:w="0" w:type="dxa"/>
        <w:tblLayout w:type="fixed"/>
        <w:tblCellMar>
          <w:top w:w="0" w:type="dxa"/>
          <w:left w:w="0" w:type="dxa"/>
          <w:bottom w:w="0" w:type="dxa"/>
          <w:right w:w="0" w:type="dxa"/>
        </w:tblCellMar>
      </w:tblPr>
      <w:tblGrid>
        <w:gridCol w:w="845"/>
        <w:gridCol w:w="195"/>
        <w:gridCol w:w="1157"/>
        <w:gridCol w:w="1003"/>
        <w:gridCol w:w="1315"/>
        <w:gridCol w:w="42"/>
        <w:gridCol w:w="1355"/>
        <w:gridCol w:w="378"/>
        <w:gridCol w:w="1992"/>
        <w:gridCol w:w="345"/>
        <w:gridCol w:w="1414"/>
        <w:gridCol w:w="534"/>
        <w:gridCol w:w="1538"/>
        <w:gridCol w:w="1172"/>
        <w:gridCol w:w="815"/>
        <w:gridCol w:w="420"/>
      </w:tblGrid>
      <w:tr>
        <w:tblPrEx>
          <w:tblCellMar>
            <w:top w:w="0" w:type="dxa"/>
            <w:left w:w="0" w:type="dxa"/>
            <w:bottom w:w="0" w:type="dxa"/>
            <w:right w:w="0" w:type="dxa"/>
          </w:tblCellMar>
        </w:tblPrEx>
        <w:trPr>
          <w:trHeight w:val="99" w:hRule="atLeast"/>
        </w:trPr>
        <w:tc>
          <w:tcPr>
            <w:tcW w:w="14520" w:type="dxa"/>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黑体" w:eastAsia="黑体" w:cs="黑体"/>
                <w:kern w:val="0"/>
                <w:sz w:val="28"/>
                <w:szCs w:val="28"/>
              </w:rPr>
            </w:pPr>
            <w:r>
              <w:rPr>
                <w:rFonts w:hint="eastAsia" w:ascii="黑体" w:hAnsi="黑体" w:eastAsia="黑体" w:cs="黑体"/>
                <w:kern w:val="0"/>
                <w:sz w:val="28"/>
                <w:szCs w:val="28"/>
              </w:rPr>
              <w:t>附件6</w:t>
            </w:r>
          </w:p>
          <w:p>
            <w:pPr>
              <w:widowControl/>
              <w:jc w:val="center"/>
              <w:textAlignment w:val="center"/>
              <w:rPr>
                <w:rFonts w:ascii="宋体" w:hAnsi="宋体"/>
                <w:b/>
                <w:sz w:val="40"/>
                <w:szCs w:val="40"/>
              </w:rPr>
            </w:pPr>
            <w:r>
              <w:rPr>
                <w:rFonts w:hint="eastAsia" w:ascii="黑体" w:hAnsi="黑体" w:eastAsia="黑体" w:cs="黑体"/>
                <w:bCs/>
                <w:kern w:val="0"/>
                <w:sz w:val="36"/>
                <w:szCs w:val="36"/>
              </w:rPr>
              <w:t>2020年教职工年度体检机构选择情况汇总表</w:t>
            </w:r>
          </w:p>
        </w:tc>
      </w:tr>
      <w:tr>
        <w:tblPrEx>
          <w:tblCellMar>
            <w:top w:w="0" w:type="dxa"/>
            <w:left w:w="0" w:type="dxa"/>
            <w:bottom w:w="0" w:type="dxa"/>
            <w:right w:w="0" w:type="dxa"/>
          </w:tblCellMar>
        </w:tblPrEx>
        <w:trPr>
          <w:trHeight w:val="90" w:hRule="atLeast"/>
        </w:trPr>
        <w:tc>
          <w:tcPr>
            <w:tcW w:w="14520" w:type="dxa"/>
            <w:gridSpan w:val="16"/>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部门／二级学院（盖章）：</w:t>
            </w:r>
          </w:p>
        </w:tc>
      </w:tr>
      <w:tr>
        <w:tblPrEx>
          <w:tblCellMar>
            <w:top w:w="0" w:type="dxa"/>
            <w:left w:w="0" w:type="dxa"/>
            <w:bottom w:w="0" w:type="dxa"/>
            <w:right w:w="0" w:type="dxa"/>
          </w:tblCellMar>
        </w:tblPrEx>
        <w:trPr>
          <w:trHeight w:val="101"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序号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姓  名</w:t>
            </w: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性别</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年龄</w:t>
            </w: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身份证号码</w:t>
            </w: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盐城市第一人民医院</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体检中心</w:t>
            </w: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美年大健康体检中心</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（盐城分院）</w:t>
            </w: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备注</w:t>
            </w: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7</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8</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9</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10</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11</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12</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13</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14</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15</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sz w:val="24"/>
                <w:szCs w:val="24"/>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2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27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0" w:hRule="atLeast"/>
        </w:trPr>
        <w:tc>
          <w:tcPr>
            <w:tcW w:w="14520" w:type="dxa"/>
            <w:gridSpan w:val="16"/>
            <w:tcBorders>
              <w:top w:val="nil"/>
              <w:left w:val="nil"/>
              <w:bottom w:val="nil"/>
              <w:right w:val="nil"/>
            </w:tcBorders>
            <w:noWrap/>
            <w:tcMar>
              <w:top w:w="15" w:type="dxa"/>
              <w:left w:w="15" w:type="dxa"/>
              <w:right w:w="15" w:type="dxa"/>
            </w:tcMar>
            <w:vAlign w:val="center"/>
          </w:tcPr>
          <w:p>
            <w:pPr>
              <w:widowControl/>
              <w:spacing w:line="26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注：1、请在所选体检机构栏内打“√”，每人根据需求选择一家体检机构；</w:t>
            </w:r>
          </w:p>
        </w:tc>
      </w:tr>
      <w:tr>
        <w:tblPrEx>
          <w:tblCellMar>
            <w:top w:w="0" w:type="dxa"/>
            <w:left w:w="0" w:type="dxa"/>
            <w:bottom w:w="0" w:type="dxa"/>
            <w:right w:w="0" w:type="dxa"/>
          </w:tblCellMar>
        </w:tblPrEx>
        <w:trPr>
          <w:trHeight w:val="90" w:hRule="atLeast"/>
        </w:trPr>
        <w:tc>
          <w:tcPr>
            <w:tcW w:w="14520" w:type="dxa"/>
            <w:gridSpan w:val="16"/>
            <w:tcBorders>
              <w:top w:val="nil"/>
              <w:left w:val="nil"/>
              <w:bottom w:val="nil"/>
              <w:right w:val="nil"/>
            </w:tcBorders>
            <w:noWrap/>
            <w:tcMar>
              <w:top w:w="15" w:type="dxa"/>
              <w:left w:w="15" w:type="dxa"/>
              <w:right w:w="15" w:type="dxa"/>
            </w:tcMar>
            <w:vAlign w:val="center"/>
          </w:tcPr>
          <w:p>
            <w:pPr>
              <w:widowControl/>
              <w:spacing w:line="260" w:lineRule="exact"/>
              <w:jc w:val="left"/>
              <w:textAlignment w:val="center"/>
              <w:rPr>
                <w:rFonts w:ascii="仿宋_GB2312" w:hAnsi="仿宋_GB2312" w:eastAsia="仿宋_GB2312" w:cs="仿宋_GB2312"/>
                <w:kern w:val="0"/>
                <w:sz w:val="24"/>
                <w:szCs w:val="24"/>
              </w:rPr>
            </w:pPr>
            <w:r>
              <w:rPr>
                <w:rFonts w:hint="eastAsia" w:ascii="宋体" w:hAnsi="宋体"/>
                <w:kern w:val="0"/>
                <w:sz w:val="28"/>
                <w:szCs w:val="28"/>
              </w:rPr>
              <w:t xml:space="preserve">  </w:t>
            </w:r>
            <w:r>
              <w:rPr>
                <w:rFonts w:hint="eastAsia" w:ascii="仿宋_GB2312" w:hAnsi="仿宋_GB2312" w:eastAsia="仿宋_GB2312" w:cs="仿宋_GB2312"/>
                <w:kern w:val="0"/>
                <w:sz w:val="24"/>
                <w:szCs w:val="24"/>
              </w:rPr>
              <w:t xml:space="preserve">  2、表格请在6月5日下午下班前报送至卫生所。</w:t>
            </w:r>
          </w:p>
          <w:p>
            <w:pPr>
              <w:widowControl/>
              <w:spacing w:line="260" w:lineRule="exact"/>
              <w:rPr>
                <w:rFonts w:ascii="仿宋_GB2312" w:hAnsi="仿宋_GB2312" w:eastAsia="仿宋_GB2312" w:cs="仿宋_GB2312"/>
                <w:sz w:val="24"/>
                <w:szCs w:val="24"/>
              </w:rPr>
            </w:pPr>
          </w:p>
        </w:tc>
      </w:tr>
      <w:tr>
        <w:tblPrEx>
          <w:tblCellMar>
            <w:top w:w="0" w:type="dxa"/>
            <w:left w:w="0" w:type="dxa"/>
            <w:bottom w:w="0" w:type="dxa"/>
            <w:right w:w="0" w:type="dxa"/>
          </w:tblCellMar>
        </w:tblPrEx>
        <w:trPr>
          <w:gridAfter w:val="1"/>
          <w:wAfter w:w="420" w:type="dxa"/>
          <w:trHeight w:val="755" w:hRule="atLeast"/>
        </w:trPr>
        <w:tc>
          <w:tcPr>
            <w:tcW w:w="14100"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黑体" w:eastAsia="黑体" w:cs="黑体"/>
                <w:kern w:val="0"/>
                <w:sz w:val="28"/>
                <w:szCs w:val="28"/>
              </w:rPr>
            </w:pPr>
            <w:r>
              <w:rPr>
                <w:rFonts w:hint="eastAsia" w:ascii="仿宋_GB2312" w:hAnsi="宋体" w:eastAsia="仿宋_GB2312" w:cs="仿宋_GB2312"/>
                <w:kern w:val="0"/>
                <w:sz w:val="24"/>
                <w:szCs w:val="24"/>
              </w:rPr>
              <w:br w:type="page"/>
            </w:r>
            <w:r>
              <w:rPr>
                <w:rFonts w:hint="eastAsia" w:ascii="黑体" w:hAnsi="黑体" w:eastAsia="黑体" w:cs="黑体"/>
                <w:kern w:val="0"/>
                <w:sz w:val="28"/>
                <w:szCs w:val="28"/>
              </w:rPr>
              <w:t>附件7</w:t>
            </w:r>
          </w:p>
          <w:p>
            <w:pPr>
              <w:widowControl/>
              <w:jc w:val="center"/>
              <w:textAlignment w:val="center"/>
              <w:rPr>
                <w:rFonts w:ascii="宋体" w:hAnsi="宋体"/>
                <w:b/>
                <w:sz w:val="36"/>
                <w:szCs w:val="36"/>
              </w:rPr>
            </w:pPr>
            <w:r>
              <w:rPr>
                <w:rFonts w:hint="eastAsia" w:ascii="黑体" w:hAnsi="黑体" w:eastAsia="黑体" w:cs="黑体"/>
                <w:bCs/>
                <w:kern w:val="0"/>
                <w:sz w:val="36"/>
                <w:szCs w:val="36"/>
              </w:rPr>
              <w:t>2020年已婚女教职工妇女病普查机构选择情况汇总表</w:t>
            </w:r>
          </w:p>
        </w:tc>
      </w:tr>
      <w:tr>
        <w:tblPrEx>
          <w:tblCellMar>
            <w:top w:w="0" w:type="dxa"/>
            <w:left w:w="0" w:type="dxa"/>
            <w:bottom w:w="0" w:type="dxa"/>
            <w:right w:w="0" w:type="dxa"/>
          </w:tblCellMar>
        </w:tblPrEx>
        <w:trPr>
          <w:gridAfter w:val="1"/>
          <w:wAfter w:w="420" w:type="dxa"/>
          <w:trHeight w:val="755" w:hRule="atLeast"/>
        </w:trPr>
        <w:tc>
          <w:tcPr>
            <w:tcW w:w="14100"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部门／二级学院（盖章）：</w:t>
            </w:r>
          </w:p>
        </w:tc>
      </w:tr>
      <w:tr>
        <w:tblPrEx>
          <w:tblCellMar>
            <w:top w:w="0" w:type="dxa"/>
            <w:left w:w="0" w:type="dxa"/>
            <w:bottom w:w="0" w:type="dxa"/>
            <w:right w:w="0" w:type="dxa"/>
          </w:tblCellMar>
        </w:tblPrEx>
        <w:trPr>
          <w:gridAfter w:val="1"/>
          <w:wAfter w:w="420" w:type="dxa"/>
          <w:trHeight w:val="887"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盐城市第一人民医院体检中心</w:t>
            </w: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美年大健康体检中心</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（盐城分院）</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盐城市</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妇幼保健院</w:t>
            </w: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是否选择和体检</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同一家机构</w:t>
            </w: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是否选择和体检</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一次性做完</w:t>
            </w: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415" w:hRule="atLeast"/>
        </w:trPr>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3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7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3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c>
          <w:tcPr>
            <w:tcW w:w="198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gridAfter w:val="1"/>
          <w:wAfter w:w="420" w:type="dxa"/>
          <w:trHeight w:val="732" w:hRule="atLeast"/>
        </w:trPr>
        <w:tc>
          <w:tcPr>
            <w:tcW w:w="14100" w:type="dxa"/>
            <w:gridSpan w:val="15"/>
            <w:tcBorders>
              <w:top w:val="single" w:color="000000" w:sz="4" w:space="0"/>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注：1、请在所选体检机构栏内打“√”。每名已婚女职工根据需求选择一家检查机构，如果选择和体检同一家机构，请注明是否选择一次性做完。</w:t>
            </w:r>
          </w:p>
        </w:tc>
      </w:tr>
      <w:tr>
        <w:tblPrEx>
          <w:tblCellMar>
            <w:top w:w="0" w:type="dxa"/>
            <w:left w:w="0" w:type="dxa"/>
            <w:bottom w:w="0" w:type="dxa"/>
            <w:right w:w="0" w:type="dxa"/>
          </w:tblCellMar>
        </w:tblPrEx>
        <w:trPr>
          <w:gridAfter w:val="1"/>
          <w:wAfter w:w="420" w:type="dxa"/>
          <w:trHeight w:val="394" w:hRule="atLeast"/>
        </w:trPr>
        <w:tc>
          <w:tcPr>
            <w:tcW w:w="14100"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2、表格请在6月5日下午下班前报送至卫生所。</w:t>
            </w:r>
          </w:p>
        </w:tc>
      </w:tr>
    </w:tbl>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057E2"/>
    <w:rsid w:val="0007778E"/>
    <w:rsid w:val="0017289C"/>
    <w:rsid w:val="002166FB"/>
    <w:rsid w:val="00281445"/>
    <w:rsid w:val="00304C2A"/>
    <w:rsid w:val="0036514F"/>
    <w:rsid w:val="003C7879"/>
    <w:rsid w:val="00417A20"/>
    <w:rsid w:val="004474EA"/>
    <w:rsid w:val="004E456E"/>
    <w:rsid w:val="0065373E"/>
    <w:rsid w:val="0071433C"/>
    <w:rsid w:val="00793294"/>
    <w:rsid w:val="008F16B8"/>
    <w:rsid w:val="009539DD"/>
    <w:rsid w:val="00982B8C"/>
    <w:rsid w:val="009C5FB9"/>
    <w:rsid w:val="00AD4515"/>
    <w:rsid w:val="00EC05D5"/>
    <w:rsid w:val="00F837A6"/>
    <w:rsid w:val="09667B6E"/>
    <w:rsid w:val="28913977"/>
    <w:rsid w:val="43CB11A1"/>
    <w:rsid w:val="443F0261"/>
    <w:rsid w:val="4F8057E2"/>
    <w:rsid w:val="77B6287E"/>
    <w:rsid w:val="786F4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1202</Words>
  <Characters>6858</Characters>
  <Lines>57</Lines>
  <Paragraphs>16</Paragraphs>
  <TotalTime>189</TotalTime>
  <ScaleCrop>false</ScaleCrop>
  <LinksUpToDate>false</LinksUpToDate>
  <CharactersWithSpaces>8044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2020-05-31T08:12:00Z</dcterms:created>
  <dc:creator>老杜</dc:creator>
  <cp:lastModifiedBy>老杜</cp:lastModifiedBy>
  <cp:lastPrinted>2020-05-31T08:30:00Z</cp:lastPrinted>
  <dcterms:modified xsi:type="dcterms:W3CDTF">2020-06-01T06:46:07Z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